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5E37F" w14:textId="42719FA2" w:rsidR="00660B8D" w:rsidRPr="00660B8D" w:rsidRDefault="00660B8D" w:rsidP="00660B8D">
      <w:pPr>
        <w:tabs>
          <w:tab w:val="right" w:pos="9639"/>
        </w:tabs>
        <w:overflowPunct/>
        <w:autoSpaceDE/>
        <w:autoSpaceDN/>
        <w:adjustRightInd/>
        <w:spacing w:after="0"/>
        <w:textAlignment w:val="auto"/>
        <w:rPr>
          <w:rFonts w:ascii="Arial" w:hAnsi="Arial" w:cs="Arial"/>
          <w:b/>
          <w:i/>
          <w:noProof/>
          <w:sz w:val="28"/>
        </w:rPr>
      </w:pPr>
      <w:bookmarkStart w:id="0" w:name="page1"/>
      <w:r w:rsidRPr="00660B8D">
        <w:rPr>
          <w:rFonts w:ascii="Arial" w:hAnsi="Arial" w:cs="Arial"/>
          <w:b/>
          <w:noProof/>
          <w:sz w:val="24"/>
        </w:rPr>
        <w:t>3GPP TSG-RAN4 Meeting #108</w:t>
      </w:r>
      <w:r w:rsidR="000352D3">
        <w:rPr>
          <w:rFonts w:ascii="Arial" w:hAnsi="Arial" w:cs="Arial"/>
          <w:b/>
          <w:noProof/>
          <w:sz w:val="24"/>
        </w:rPr>
        <w:t>-bis</w:t>
      </w:r>
      <w:r w:rsidRPr="00660B8D">
        <w:rPr>
          <w:rFonts w:ascii="Arial" w:hAnsi="Arial" w:cs="Arial"/>
          <w:b/>
          <w:i/>
          <w:noProof/>
          <w:sz w:val="28"/>
        </w:rPr>
        <w:tab/>
      </w:r>
      <w:r w:rsidRPr="008D5CB2">
        <w:rPr>
          <w:rFonts w:ascii="Arial" w:hAnsi="Arial" w:cs="Arial"/>
          <w:b/>
          <w:sz w:val="24"/>
          <w:szCs w:val="24"/>
        </w:rPr>
        <w:t>R4-</w:t>
      </w:r>
      <w:r w:rsidRPr="008D5CB2">
        <w:rPr>
          <w:rFonts w:ascii="Arial" w:hAnsi="Arial" w:cs="Arial"/>
          <w:b/>
          <w:iCs/>
          <w:noProof/>
          <w:sz w:val="24"/>
          <w:szCs w:val="24"/>
        </w:rPr>
        <w:t>23</w:t>
      </w:r>
      <w:r w:rsidR="00A94381" w:rsidRPr="00A94381">
        <w:rPr>
          <w:rFonts w:ascii="Arial" w:hAnsi="Arial" w:cs="Arial"/>
          <w:b/>
          <w:iCs/>
          <w:noProof/>
          <w:sz w:val="24"/>
          <w:szCs w:val="24"/>
        </w:rPr>
        <w:t>16304</w:t>
      </w:r>
    </w:p>
    <w:p w14:paraId="5EE7ED87" w14:textId="6CF6083A" w:rsidR="004462CA" w:rsidRPr="004462CA" w:rsidRDefault="00A94381" w:rsidP="004462CA">
      <w:pPr>
        <w:overflowPunct/>
        <w:autoSpaceDE/>
        <w:autoSpaceDN/>
        <w:adjustRightInd/>
        <w:spacing w:after="120"/>
        <w:textAlignment w:val="auto"/>
        <w:outlineLvl w:val="0"/>
        <w:rPr>
          <w:rFonts w:ascii="Arial" w:hAnsi="Arial" w:cs="Arial"/>
          <w:b/>
          <w:noProof/>
          <w:sz w:val="24"/>
        </w:rPr>
      </w:pPr>
      <w:r w:rsidRPr="00B334F7">
        <w:rPr>
          <w:rFonts w:ascii="Arial" w:hAnsi="Arial" w:cs="Arial"/>
          <w:b/>
          <w:noProof/>
          <w:sz w:val="24"/>
        </w:rPr>
        <w:t>Xiamen</w:t>
      </w:r>
      <w:r w:rsidR="004462CA" w:rsidRPr="006304D0">
        <w:rPr>
          <w:rFonts w:ascii="Arial" w:hAnsi="Arial" w:cs="Arial"/>
          <w:b/>
          <w:noProof/>
          <w:sz w:val="24"/>
        </w:rPr>
        <w:t xml:space="preserve">, </w:t>
      </w:r>
      <w:r w:rsidRPr="00B334F7">
        <w:rPr>
          <w:rFonts w:ascii="Arial" w:hAnsi="Arial" w:cs="Arial"/>
          <w:b/>
          <w:noProof/>
          <w:sz w:val="24"/>
        </w:rPr>
        <w:t>China</w:t>
      </w:r>
      <w:r w:rsidR="004462CA" w:rsidRPr="006304D0">
        <w:rPr>
          <w:rFonts w:ascii="Arial" w:hAnsi="Arial" w:cs="Arial"/>
          <w:b/>
          <w:noProof/>
          <w:sz w:val="24"/>
        </w:rPr>
        <w:t xml:space="preserve">, </w:t>
      </w:r>
      <w:r w:rsidRPr="00B334F7">
        <w:rPr>
          <w:rFonts w:ascii="Arial" w:hAnsi="Arial" w:cs="Arial"/>
          <w:b/>
          <w:noProof/>
          <w:sz w:val="24"/>
        </w:rPr>
        <w:t>9</w:t>
      </w:r>
      <w:r w:rsidR="004462CA" w:rsidRPr="006304D0">
        <w:rPr>
          <w:rFonts w:ascii="Arial" w:hAnsi="Arial" w:cs="Arial"/>
          <w:b/>
          <w:noProof/>
          <w:sz w:val="24"/>
        </w:rPr>
        <w:t>-</w:t>
      </w:r>
      <w:r w:rsidRPr="00B334F7">
        <w:rPr>
          <w:rFonts w:ascii="Arial" w:hAnsi="Arial" w:cs="Arial"/>
          <w:b/>
          <w:noProof/>
          <w:sz w:val="24"/>
        </w:rPr>
        <w:t>13</w:t>
      </w:r>
      <w:r w:rsidR="004462CA" w:rsidRPr="006304D0">
        <w:rPr>
          <w:rFonts w:ascii="Arial" w:hAnsi="Arial" w:cs="Arial"/>
          <w:b/>
          <w:noProof/>
          <w:sz w:val="24"/>
        </w:rPr>
        <w:t xml:space="preserve"> </w:t>
      </w:r>
      <w:r w:rsidRPr="00B334F7">
        <w:rPr>
          <w:rFonts w:ascii="Arial" w:hAnsi="Arial" w:cs="Arial"/>
          <w:b/>
          <w:noProof/>
          <w:sz w:val="24"/>
        </w:rPr>
        <w:t>October</w:t>
      </w:r>
      <w:r w:rsidR="004462CA" w:rsidRPr="006304D0">
        <w:rPr>
          <w:rFonts w:ascii="Arial" w:hAnsi="Arial" w:cs="Arial"/>
          <w:b/>
          <w:noProof/>
          <w:sz w:val="24"/>
        </w:rPr>
        <w:t xml:space="preserve"> 2023</w:t>
      </w:r>
      <w:r w:rsidR="004462CA" w:rsidRPr="004462CA">
        <w:rPr>
          <w:rFonts w:ascii="Arial" w:hAnsi="Arial" w:cs="Arial"/>
          <w:b/>
          <w:noProof/>
          <w:sz w:val="24"/>
        </w:rPr>
        <w:t xml:space="preserve"> </w:t>
      </w:r>
    </w:p>
    <w:p w14:paraId="36C1A310" w14:textId="77777777" w:rsidR="00F67398" w:rsidRPr="00D65F71" w:rsidRDefault="00F67398" w:rsidP="007C1C29">
      <w:pPr>
        <w:spacing w:after="120"/>
        <w:ind w:left="1985" w:hanging="1985"/>
        <w:jc w:val="both"/>
        <w:rPr>
          <w:rFonts w:ascii="Arial" w:hAnsi="Arial" w:cs="Arial"/>
          <w:b/>
          <w:lang w:val="en-US"/>
        </w:rPr>
      </w:pPr>
    </w:p>
    <w:p w14:paraId="3D996964" w14:textId="77777777" w:rsidR="001065D9" w:rsidRPr="00D65F71" w:rsidRDefault="000864E9" w:rsidP="007C1C29">
      <w:pPr>
        <w:spacing w:after="120"/>
        <w:ind w:left="1985" w:hanging="1985"/>
        <w:jc w:val="both"/>
        <w:rPr>
          <w:rFonts w:ascii="Arial" w:hAnsi="Arial" w:cs="Arial"/>
          <w:lang w:val="en-US"/>
        </w:rPr>
      </w:pPr>
      <w:r w:rsidRPr="00D65F71">
        <w:rPr>
          <w:rFonts w:ascii="Arial" w:hAnsi="Arial" w:cs="Arial"/>
          <w:b/>
          <w:lang w:val="en-US"/>
        </w:rPr>
        <w:t>Source:</w:t>
      </w:r>
      <w:r w:rsidRPr="00D65F71">
        <w:rPr>
          <w:rFonts w:ascii="Arial" w:hAnsi="Arial" w:cs="Arial"/>
          <w:b/>
          <w:lang w:val="en-US"/>
        </w:rPr>
        <w:tab/>
      </w:r>
      <w:r w:rsidR="00E0686F" w:rsidRPr="00D65F71">
        <w:rPr>
          <w:rFonts w:ascii="Arial" w:hAnsi="Arial" w:cs="Arial"/>
          <w:lang w:val="en-US"/>
        </w:rPr>
        <w:t>Nokia</w:t>
      </w:r>
      <w:r w:rsidR="00A0242A" w:rsidRPr="00D65F71">
        <w:rPr>
          <w:rFonts w:ascii="Arial" w:hAnsi="Arial" w:cs="Arial"/>
          <w:lang w:val="en-US"/>
        </w:rPr>
        <w:t xml:space="preserve">, </w:t>
      </w:r>
      <w:r w:rsidR="00F50CA4" w:rsidRPr="00D65F71">
        <w:rPr>
          <w:rFonts w:ascii="Arial" w:hAnsi="Arial" w:cs="Arial"/>
          <w:lang w:val="en-US"/>
        </w:rPr>
        <w:t>Nokia</w:t>
      </w:r>
      <w:r w:rsidR="00A0242A" w:rsidRPr="00D65F71">
        <w:rPr>
          <w:rFonts w:ascii="Arial" w:hAnsi="Arial" w:cs="Arial"/>
          <w:lang w:val="en-US"/>
        </w:rPr>
        <w:t xml:space="preserve"> Shanghai Bell</w:t>
      </w:r>
    </w:p>
    <w:p w14:paraId="416CED3B" w14:textId="69CCA9D9" w:rsidR="0087339C" w:rsidRPr="00D65F71" w:rsidRDefault="000864E9" w:rsidP="007C1C29">
      <w:pPr>
        <w:spacing w:after="120"/>
        <w:ind w:left="1985" w:hanging="1985"/>
        <w:jc w:val="both"/>
        <w:rPr>
          <w:rFonts w:ascii="Arial" w:eastAsia="Arial" w:hAnsi="Arial" w:cs="Arial"/>
        </w:rPr>
      </w:pPr>
      <w:r w:rsidRPr="00B334F7">
        <w:rPr>
          <w:rFonts w:ascii="Arial" w:hAnsi="Arial" w:cs="Arial"/>
          <w:b/>
          <w:lang w:val="en-US"/>
        </w:rPr>
        <w:t>Title:</w:t>
      </w:r>
      <w:r w:rsidRPr="00B334F7">
        <w:tab/>
      </w:r>
      <w:r w:rsidR="7B77EABD" w:rsidRPr="00B334F7">
        <w:rPr>
          <w:rFonts w:ascii="Arial" w:eastAsia="Arial" w:hAnsi="Arial" w:cs="Arial"/>
        </w:rPr>
        <w:t>Discussion on assumptions and simulation results for SBFD coexistence evaluation</w:t>
      </w:r>
    </w:p>
    <w:p w14:paraId="46DD4C61" w14:textId="59B461D2" w:rsidR="000864E9" w:rsidRPr="00D65F71" w:rsidRDefault="61094672" w:rsidP="008D1BF2">
      <w:pPr>
        <w:spacing w:after="120"/>
        <w:ind w:left="1985" w:hanging="1985"/>
        <w:jc w:val="both"/>
        <w:rPr>
          <w:rFonts w:ascii="Arial" w:hAnsi="Arial" w:cs="Arial"/>
          <w:lang w:val="en-US"/>
        </w:rPr>
      </w:pPr>
      <w:r w:rsidRPr="008D1BF2">
        <w:rPr>
          <w:rFonts w:ascii="Arial" w:hAnsi="Arial" w:cs="Arial"/>
          <w:b/>
          <w:bCs/>
          <w:lang w:val="en-US"/>
        </w:rPr>
        <w:t>Agenda item:</w:t>
      </w:r>
      <w:r w:rsidR="3E236360">
        <w:tab/>
      </w:r>
      <w:r w:rsidR="008F010F">
        <w:rPr>
          <w:rFonts w:ascii="Arial" w:hAnsi="Arial" w:cs="Arial"/>
          <w:lang w:val="en-US"/>
        </w:rPr>
        <w:t>8.19.2.1</w:t>
      </w:r>
    </w:p>
    <w:p w14:paraId="46C090F9" w14:textId="68AD5EE3" w:rsidR="000864E9" w:rsidRPr="00D65F71" w:rsidRDefault="000864E9" w:rsidP="007C1C29">
      <w:pPr>
        <w:spacing w:after="120"/>
        <w:ind w:left="1985" w:hanging="1985"/>
        <w:jc w:val="both"/>
        <w:rPr>
          <w:rFonts w:ascii="Arial" w:hAnsi="Arial" w:cs="Arial"/>
          <w:lang w:val="en-US"/>
        </w:rPr>
      </w:pPr>
      <w:r w:rsidRPr="00D65F71">
        <w:rPr>
          <w:rFonts w:ascii="Arial" w:hAnsi="Arial" w:cs="Arial"/>
          <w:b/>
          <w:lang w:val="en-US"/>
        </w:rPr>
        <w:t>Document for:</w:t>
      </w:r>
      <w:r w:rsidRPr="00D65F71">
        <w:rPr>
          <w:rFonts w:ascii="Arial" w:hAnsi="Arial" w:cs="Arial"/>
        </w:rPr>
        <w:tab/>
      </w:r>
      <w:r w:rsidR="002C2C43" w:rsidRPr="00D65F71">
        <w:rPr>
          <w:rFonts w:ascii="Arial" w:hAnsi="Arial" w:cs="Arial"/>
          <w:lang w:val="en-US"/>
        </w:rPr>
        <w:t>Approval</w:t>
      </w:r>
    </w:p>
    <w:p w14:paraId="6F455D5A" w14:textId="77777777" w:rsidR="00331726" w:rsidRPr="00D65F71" w:rsidRDefault="00331726" w:rsidP="007C1C29">
      <w:pPr>
        <w:keepNext/>
        <w:keepLines/>
        <w:numPr>
          <w:ilvl w:val="0"/>
          <w:numId w:val="13"/>
        </w:numPr>
        <w:pBdr>
          <w:top w:val="single" w:sz="12" w:space="3" w:color="auto"/>
        </w:pBdr>
        <w:spacing w:before="240"/>
        <w:jc w:val="both"/>
        <w:outlineLvl w:val="0"/>
        <w:rPr>
          <w:rFonts w:ascii="Arial" w:eastAsia="Times New Roman" w:hAnsi="Arial" w:cs="Arial"/>
          <w:sz w:val="36"/>
          <w:lang w:val="en-US"/>
        </w:rPr>
      </w:pPr>
      <w:r w:rsidRPr="00D65F71">
        <w:rPr>
          <w:rFonts w:ascii="Arial" w:eastAsia="Times New Roman" w:hAnsi="Arial" w:cs="Arial"/>
          <w:sz w:val="36"/>
          <w:lang w:val="en-US"/>
        </w:rPr>
        <w:t>Introduction</w:t>
      </w:r>
    </w:p>
    <w:p w14:paraId="1CFC3B4F" w14:textId="77777777" w:rsidR="004F79DA" w:rsidRPr="00331726" w:rsidRDefault="004F79DA" w:rsidP="007C1C29">
      <w:pPr>
        <w:jc w:val="both"/>
        <w:rPr>
          <w:rFonts w:ascii="Times New Roman" w:hAnsi="Times New Roman" w:cs="Times New Roman"/>
          <w:lang w:val="en-US"/>
        </w:rPr>
      </w:pPr>
      <w:bookmarkStart w:id="1" w:name="_Hlk97109309"/>
      <w:r w:rsidRPr="00331726">
        <w:rPr>
          <w:rFonts w:ascii="Times New Roman" w:hAnsi="Times New Roman" w:cs="Times New Roman"/>
          <w:lang w:val="en-US"/>
        </w:rPr>
        <w:t>The new RAN1/RAN4 study item on evolution of duplex operation for NR TDD systems in unpaired spectrum was adopted [1]. The assumptions are listed as follows:</w:t>
      </w:r>
    </w:p>
    <w:p w14:paraId="137BF80E"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Duplex enhancement at the gNB side</w:t>
      </w:r>
    </w:p>
    <w:p w14:paraId="15E7E6F6"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Half duplex operation at the UE side</w:t>
      </w:r>
    </w:p>
    <w:p w14:paraId="7C9435D8"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No restriction on frequency ranges</w:t>
      </w:r>
    </w:p>
    <w:p w14:paraId="5CE28E70" w14:textId="77777777" w:rsidR="004F79DA" w:rsidRDefault="004F79DA" w:rsidP="007C1C29">
      <w:pPr>
        <w:jc w:val="both"/>
        <w:rPr>
          <w:rFonts w:ascii="Times New Roman" w:hAnsi="Times New Roman" w:cs="Times New Roman"/>
          <w:lang w:val="en-US"/>
        </w:rPr>
      </w:pPr>
      <w:r>
        <w:rPr>
          <w:rFonts w:ascii="Times New Roman" w:hAnsi="Times New Roman" w:cs="Times New Roman"/>
          <w:lang w:val="en-US"/>
        </w:rPr>
        <w:t>While the work item objectives are the following:</w:t>
      </w:r>
    </w:p>
    <w:tbl>
      <w:tblPr>
        <w:tblStyle w:val="TableGrid"/>
        <w:tblW w:w="0" w:type="auto"/>
        <w:tblLook w:val="04A0" w:firstRow="1" w:lastRow="0" w:firstColumn="1" w:lastColumn="0" w:noHBand="0" w:noVBand="1"/>
      </w:tblPr>
      <w:tblGrid>
        <w:gridCol w:w="9621"/>
      </w:tblGrid>
      <w:tr w:rsidR="004F79DA" w14:paraId="3835F86B" w14:textId="77777777" w:rsidTr="008F6D99">
        <w:tc>
          <w:tcPr>
            <w:tcW w:w="9621" w:type="dxa"/>
          </w:tcPr>
          <w:p w14:paraId="7A7F38F9"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lang w:val="en-US"/>
              </w:rPr>
              <w:t>Identify applicable and relevant deployment scenarios (RAN1).</w:t>
            </w:r>
          </w:p>
          <w:p w14:paraId="7DB9A3EF"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lang w:val="en-US"/>
              </w:rPr>
              <w:t>Develop evaluation methodology for duplex enhancement (RAN1).</w:t>
            </w:r>
          </w:p>
          <w:p w14:paraId="55D31537"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rFonts w:eastAsia="Malgun Gothic"/>
                <w:lang w:val="en-US" w:eastAsia="ko-KR"/>
              </w:rPr>
              <w:t xml:space="preserve">Study the subband non-overlapping full duplex and </w:t>
            </w:r>
            <w:bookmarkStart w:id="2" w:name="_Hlk89796625"/>
            <w:r>
              <w:rPr>
                <w:rFonts w:eastAsia="Malgun Gothic"/>
                <w:lang w:val="en-US" w:eastAsia="ko-KR"/>
              </w:rPr>
              <w:t xml:space="preserve">potential enhancements on </w:t>
            </w:r>
            <w:r>
              <w:rPr>
                <w:rFonts w:eastAsia="Malgun Gothic"/>
                <w:bCs/>
                <w:lang w:eastAsia="ko-KR"/>
              </w:rPr>
              <w:t>dynamic/flexible TDD</w:t>
            </w:r>
            <w:bookmarkEnd w:id="2"/>
            <w:r>
              <w:rPr>
                <w:rFonts w:eastAsia="Malgun Gothic"/>
                <w:bCs/>
                <w:lang w:eastAsia="ko-KR"/>
              </w:rPr>
              <w:t xml:space="preserve"> (RAN1, RAN4).</w:t>
            </w:r>
          </w:p>
          <w:p w14:paraId="1DE1AF88" w14:textId="77777777" w:rsidR="004F79DA" w:rsidRPr="002D223D"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val="en-US" w:eastAsia="ko-KR"/>
              </w:rPr>
            </w:pPr>
            <w:r>
              <w:rPr>
                <w:rFonts w:eastAsia="Malgun Gothic"/>
                <w:bCs/>
                <w:lang w:eastAsia="ko-KR"/>
              </w:rPr>
              <w:t>Identify possible schemes and evaluate their feasibility and performances (RAN1).</w:t>
            </w:r>
          </w:p>
          <w:p w14:paraId="7617B1FF"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Study inter-gNB and inter-UE CLI handling and identify solutions to manage them (RAN1). </w:t>
            </w:r>
          </w:p>
          <w:p w14:paraId="06146951" w14:textId="77777777" w:rsidR="004F79DA" w:rsidRDefault="004F79DA" w:rsidP="00885E2D">
            <w:pPr>
              <w:pStyle w:val="ListParagraph"/>
              <w:numPr>
                <w:ilvl w:val="1"/>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Consider intra-subband CLI and inter-subband CLI in case of the </w:t>
            </w:r>
            <w:r>
              <w:rPr>
                <w:rFonts w:eastAsia="Malgun Gothic"/>
                <w:lang w:val="en-US" w:eastAsia="ko-KR"/>
              </w:rPr>
              <w:t>subband non-overlapping full duplex</w:t>
            </w:r>
            <w:r>
              <w:rPr>
                <w:rFonts w:eastAsia="Malgun Gothic"/>
                <w:bCs/>
                <w:lang w:eastAsia="ko-KR"/>
              </w:rPr>
              <w:t>.</w:t>
            </w:r>
          </w:p>
          <w:p w14:paraId="58190EA2"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54533E42" w14:textId="77777777" w:rsidR="004F79DA" w:rsidRPr="00112071" w:rsidRDefault="004F79DA" w:rsidP="00885E2D">
            <w:pPr>
              <w:pStyle w:val="ListParagraph"/>
              <w:numPr>
                <w:ilvl w:val="0"/>
                <w:numId w:val="18"/>
              </w:numPr>
              <w:overflowPunct/>
              <w:autoSpaceDE/>
              <w:autoSpaceDN/>
              <w:adjustRightInd/>
              <w:spacing w:after="160" w:line="256" w:lineRule="auto"/>
              <w:textAlignment w:val="auto"/>
              <w:rPr>
                <w:rFonts w:eastAsia="Malgun Gothic"/>
                <w:bCs/>
                <w:highlight w:val="cyan"/>
                <w:lang w:eastAsia="ko-KR"/>
              </w:rPr>
            </w:pPr>
            <w:r w:rsidRPr="00112071">
              <w:rPr>
                <w:rFonts w:eastAsia="Malgun Gothic"/>
                <w:bCs/>
                <w:highlight w:val="cyan"/>
                <w:lang w:eastAsia="ko-KR"/>
              </w:rPr>
              <w:t>Study the feasibility of and impact on RF requirements considering adjacent-channel co-existence with the legacy operation (RAN4).</w:t>
            </w:r>
          </w:p>
          <w:p w14:paraId="188848EA" w14:textId="77777777" w:rsidR="004F79DA" w:rsidRPr="002A4204"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sidRPr="002A4204">
              <w:rPr>
                <w:rFonts w:eastAsia="Malgun Gothic"/>
                <w:bCs/>
                <w:lang w:eastAsia="ko-KR"/>
              </w:rPr>
              <w:t>Study the feasibility of and impact on RF requirements considering the self-interference, the inter-subband CLI, and the inter-operator CLI at gNB and the inter-subband CLI and inter-operator CLI at UE (RAN4).</w:t>
            </w:r>
          </w:p>
          <w:p w14:paraId="3F61F1CE"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B86398A" w14:textId="77777777" w:rsidR="004F79DA" w:rsidRPr="00F73F67"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sidRPr="00F73F67">
              <w:rPr>
                <w:rFonts w:eastAsia="Malgun Gothic"/>
                <w:bCs/>
                <w:lang w:eastAsia="ko-KR"/>
              </w:rPr>
              <w:t>Summarize the regulatory aspects that have to be considered for deploying the identified duplex enhancements in TDD unpaired spectrum (RAN4).</w:t>
            </w:r>
          </w:p>
          <w:p w14:paraId="575A2478" w14:textId="77777777" w:rsidR="004F79DA" w:rsidRPr="002D223D" w:rsidRDefault="004F79DA" w:rsidP="008F6D99">
            <w:pPr>
              <w:jc w:val="both"/>
              <w:rPr>
                <w:bCs/>
                <w:lang w:val="en-US" w:eastAsia="ko-KR"/>
              </w:rPr>
            </w:pPr>
            <w:r>
              <w:rPr>
                <w:rFonts w:eastAsia="Malgun Gothic"/>
                <w:bCs/>
                <w:lang w:eastAsia="ko-KR"/>
              </w:rPr>
              <w:t xml:space="preserve">Note: For potential enhancements on dynamic/flexible TDD, utilize the outcome of discussion in Rel-15 and Rel-16 while avoiding the repetition of the same discussion. </w:t>
            </w:r>
          </w:p>
        </w:tc>
      </w:tr>
    </w:tbl>
    <w:p w14:paraId="0987FF22" w14:textId="77777777" w:rsidR="004F79DA" w:rsidRDefault="004F79DA" w:rsidP="007C1C29">
      <w:pPr>
        <w:jc w:val="both"/>
        <w:rPr>
          <w:rFonts w:ascii="Times New Roman" w:hAnsi="Times New Roman" w:cs="Times New Roman"/>
          <w:lang w:val="en-US"/>
        </w:rPr>
      </w:pPr>
    </w:p>
    <w:p w14:paraId="41538229" w14:textId="7819A9A6" w:rsidR="004F79DA" w:rsidRDefault="004F79DA" w:rsidP="007C1C29">
      <w:pPr>
        <w:jc w:val="both"/>
        <w:rPr>
          <w:rFonts w:ascii="Times New Roman" w:hAnsi="Times New Roman" w:cs="Times New Roman"/>
          <w:lang w:val="en-US"/>
        </w:rPr>
      </w:pPr>
      <w:r w:rsidRPr="00331726">
        <w:rPr>
          <w:rFonts w:ascii="Times New Roman" w:hAnsi="Times New Roman" w:cs="Times New Roman"/>
          <w:lang w:val="en-US"/>
        </w:rPr>
        <w:t xml:space="preserve">This document </w:t>
      </w:r>
      <w:r w:rsidR="002A4204">
        <w:rPr>
          <w:rFonts w:ascii="Times New Roman" w:hAnsi="Times New Roman" w:cs="Times New Roman"/>
          <w:lang w:val="en-US"/>
        </w:rPr>
        <w:t xml:space="preserve">focuses on the </w:t>
      </w:r>
      <w:r w:rsidR="002A4204" w:rsidRPr="00112071">
        <w:rPr>
          <w:rFonts w:ascii="Times New Roman" w:hAnsi="Times New Roman" w:cs="Times New Roman"/>
          <w:highlight w:val="cyan"/>
          <w:lang w:val="en-US"/>
        </w:rPr>
        <w:t>highlighted</w:t>
      </w:r>
      <w:r w:rsidR="002A4204">
        <w:rPr>
          <w:rFonts w:ascii="Times New Roman" w:hAnsi="Times New Roman" w:cs="Times New Roman"/>
          <w:lang w:val="en-US"/>
        </w:rPr>
        <w:t xml:space="preserve"> objective on studying adjacent channel coexistence aspects, building </w:t>
      </w:r>
      <w:r>
        <w:rPr>
          <w:rFonts w:ascii="Times New Roman" w:hAnsi="Times New Roman" w:cs="Times New Roman"/>
          <w:lang w:val="en-US"/>
        </w:rPr>
        <w:t>on the discussion and agreements reached in RAN4#10</w:t>
      </w:r>
      <w:r w:rsidR="00904163">
        <w:rPr>
          <w:rFonts w:ascii="Times New Roman" w:hAnsi="Times New Roman" w:cs="Times New Roman"/>
          <w:lang w:val="en-US"/>
        </w:rPr>
        <w:t>7</w:t>
      </w:r>
      <w:r w:rsidR="007D53E3">
        <w:rPr>
          <w:rFonts w:ascii="Times New Roman" w:hAnsi="Times New Roman" w:cs="Times New Roman"/>
          <w:lang w:val="en-US"/>
        </w:rPr>
        <w:t xml:space="preserve"> </w:t>
      </w:r>
      <w:r w:rsidR="00646B1F">
        <w:rPr>
          <w:rFonts w:ascii="Times New Roman" w:hAnsi="Times New Roman" w:cs="Times New Roman"/>
          <w:lang w:val="en-US"/>
        </w:rPr>
        <w:t xml:space="preserve">as </w:t>
      </w:r>
      <w:r w:rsidR="002A4204">
        <w:rPr>
          <w:rFonts w:ascii="Times New Roman" w:hAnsi="Times New Roman" w:cs="Times New Roman"/>
          <w:lang w:val="en-US"/>
        </w:rPr>
        <w:t>summarize</w:t>
      </w:r>
      <w:r w:rsidR="002A4204" w:rsidRPr="00012FAA">
        <w:rPr>
          <w:rFonts w:ascii="Times New Roman" w:hAnsi="Times New Roman" w:cs="Times New Roman"/>
          <w:lang w:val="en-US"/>
        </w:rPr>
        <w:t xml:space="preserve">d in </w:t>
      </w:r>
      <w:r w:rsidR="00646B1F" w:rsidRPr="00EF7212">
        <w:rPr>
          <w:rFonts w:ascii="Times New Roman" w:hAnsi="Times New Roman" w:cs="Times New Roman"/>
          <w:highlight w:val="yellow"/>
          <w:lang w:val="en-US"/>
        </w:rPr>
        <w:t>[</w:t>
      </w:r>
      <w:r w:rsidR="00012FAA" w:rsidRPr="00EF7212">
        <w:rPr>
          <w:rFonts w:ascii="Times New Roman" w:hAnsi="Times New Roman" w:cs="Times New Roman"/>
          <w:highlight w:val="yellow"/>
          <w:lang w:val="en-US"/>
        </w:rPr>
        <w:t>2</w:t>
      </w:r>
      <w:r w:rsidR="00646B1F" w:rsidRPr="00EF7212">
        <w:rPr>
          <w:rFonts w:ascii="Times New Roman" w:hAnsi="Times New Roman" w:cs="Times New Roman"/>
          <w:highlight w:val="yellow"/>
          <w:lang w:val="en-US"/>
        </w:rPr>
        <w:t>]</w:t>
      </w:r>
      <w:r w:rsidRPr="00EF7212">
        <w:rPr>
          <w:rFonts w:ascii="Times New Roman" w:hAnsi="Times New Roman" w:cs="Times New Roman"/>
          <w:highlight w:val="yellow"/>
          <w:lang w:val="en-US"/>
        </w:rPr>
        <w:t>.</w:t>
      </w:r>
      <w:r w:rsidR="00112071">
        <w:rPr>
          <w:rFonts w:ascii="Times New Roman" w:hAnsi="Times New Roman" w:cs="Times New Roman"/>
          <w:lang w:val="en-US"/>
        </w:rPr>
        <w:t xml:space="preserve"> </w:t>
      </w:r>
    </w:p>
    <w:p w14:paraId="06FB63B1" w14:textId="77777777" w:rsidR="001F28A6" w:rsidRDefault="001F28A6" w:rsidP="007C1C29">
      <w:pPr>
        <w:jc w:val="both"/>
        <w:rPr>
          <w:rFonts w:ascii="Times New Roman" w:hAnsi="Times New Roman" w:cs="Times New Roman"/>
          <w:lang w:val="en-US"/>
        </w:rPr>
      </w:pPr>
    </w:p>
    <w:p w14:paraId="7D36B153" w14:textId="77777777" w:rsidR="001F28A6" w:rsidRDefault="001F28A6" w:rsidP="007C1C29">
      <w:pPr>
        <w:jc w:val="both"/>
        <w:rPr>
          <w:rFonts w:ascii="Times New Roman" w:hAnsi="Times New Roman" w:cs="Times New Roman"/>
          <w:lang w:val="en-US"/>
        </w:rPr>
      </w:pPr>
    </w:p>
    <w:p w14:paraId="61268BAD" w14:textId="77777777" w:rsidR="001F28A6" w:rsidRDefault="001F28A6" w:rsidP="007C1C29">
      <w:pPr>
        <w:jc w:val="both"/>
        <w:rPr>
          <w:rFonts w:ascii="Times New Roman" w:hAnsi="Times New Roman" w:cs="Times New Roman"/>
          <w:lang w:val="en-US"/>
        </w:rPr>
      </w:pPr>
    </w:p>
    <w:p w14:paraId="5FCF704B" w14:textId="5CDFDD8A" w:rsidR="001F28A6" w:rsidRDefault="00305F2E" w:rsidP="00305F2E">
      <w:pPr>
        <w:pStyle w:val="Heading1"/>
        <w:numPr>
          <w:ilvl w:val="0"/>
          <w:numId w:val="13"/>
        </w:numPr>
        <w:rPr>
          <w:lang w:val="en-US"/>
        </w:rPr>
      </w:pPr>
      <w:r>
        <w:rPr>
          <w:lang w:val="en-US"/>
        </w:rPr>
        <w:lastRenderedPageBreak/>
        <w:t xml:space="preserve">Discussion </w:t>
      </w:r>
      <w:r w:rsidR="00B6750B">
        <w:rPr>
          <w:lang w:val="en-US"/>
        </w:rPr>
        <w:t>on remaining issues</w:t>
      </w:r>
    </w:p>
    <w:p w14:paraId="16295275" w14:textId="09B71BB8" w:rsidR="00B6750B" w:rsidRPr="00B6750B" w:rsidRDefault="00B6750B" w:rsidP="00B334F7">
      <w:pPr>
        <w:rPr>
          <w:lang w:val="en-US"/>
        </w:rPr>
      </w:pPr>
      <w:r>
        <w:rPr>
          <w:lang w:val="en-US"/>
        </w:rPr>
        <w:t xml:space="preserve">In this section we discuss open issues related to the coexistence simulations </w:t>
      </w:r>
      <w:r w:rsidR="005C497C">
        <w:rPr>
          <w:lang w:val="en-US"/>
        </w:rPr>
        <w:t xml:space="preserve">currently </w:t>
      </w:r>
      <w:r w:rsidR="00A7671C">
        <w:rPr>
          <w:lang w:val="en-US"/>
        </w:rPr>
        <w:t xml:space="preserve">being </w:t>
      </w:r>
      <w:r w:rsidR="005C497C">
        <w:rPr>
          <w:lang w:val="en-US"/>
        </w:rPr>
        <w:t>conducted</w:t>
      </w:r>
      <w:r w:rsidR="00A7671C">
        <w:rPr>
          <w:lang w:val="en-US"/>
        </w:rPr>
        <w:t>.</w:t>
      </w:r>
    </w:p>
    <w:p w14:paraId="577E96F8" w14:textId="1A9F57D9" w:rsidR="00305F2E" w:rsidRPr="00305F2E" w:rsidRDefault="00305F2E" w:rsidP="00B334F7">
      <w:pPr>
        <w:pStyle w:val="Heading2"/>
        <w:rPr>
          <w:lang w:val="en-US"/>
        </w:rPr>
      </w:pPr>
      <w:r>
        <w:rPr>
          <w:lang w:val="en-US"/>
        </w:rPr>
        <w:t>2.1 Blocking model input power calculation</w:t>
      </w:r>
    </w:p>
    <w:p w14:paraId="0845E1A4" w14:textId="5A72E368" w:rsidR="009E48C6" w:rsidRPr="00B334F7" w:rsidRDefault="00B17092" w:rsidP="007C1C29">
      <w:pPr>
        <w:jc w:val="both"/>
        <w:rPr>
          <w:lang w:val="en-US"/>
        </w:rPr>
      </w:pPr>
      <w:r w:rsidRPr="00B334F7">
        <w:rPr>
          <w:lang w:val="en-US"/>
        </w:rPr>
        <w:t>One important aspect on the coexistence studies is the BS receiver blocking model. In [</w:t>
      </w:r>
      <w:r w:rsidR="00744E7B">
        <w:rPr>
          <w:lang w:val="en-US"/>
        </w:rPr>
        <w:t>5</w:t>
      </w:r>
      <w:r w:rsidRPr="00B334F7">
        <w:rPr>
          <w:lang w:val="en-US"/>
        </w:rPr>
        <w:t>], the input power to the blocking model is described mathematically as:</w:t>
      </w:r>
    </w:p>
    <w:tbl>
      <w:tblPr>
        <w:tblStyle w:val="TableGrid"/>
        <w:tblW w:w="0" w:type="auto"/>
        <w:tblLook w:val="04A0" w:firstRow="1" w:lastRow="0" w:firstColumn="1" w:lastColumn="0" w:noHBand="0" w:noVBand="1"/>
      </w:tblPr>
      <w:tblGrid>
        <w:gridCol w:w="9574"/>
      </w:tblGrid>
      <w:tr w:rsidR="00B94023" w:rsidRPr="00B94023" w14:paraId="49822FAD" w14:textId="77777777" w:rsidTr="00152C36">
        <w:tc>
          <w:tcPr>
            <w:tcW w:w="0" w:type="auto"/>
          </w:tcPr>
          <w:p w14:paraId="057F3D8F" w14:textId="77777777" w:rsidR="00CE5696" w:rsidRPr="00CA4F15" w:rsidRDefault="00CE5696" w:rsidP="00CE5696">
            <w:r w:rsidRPr="00CA4F15">
              <w:t>The receiver input total power can be expressed as a sum of wanted signal and all interferer signals in linear scale as:</w:t>
            </w:r>
          </w:p>
          <w:p w14:paraId="6D113DF1" w14:textId="3DF7DE29" w:rsidR="00152C36" w:rsidRPr="00B334F7" w:rsidRDefault="00A861FC" w:rsidP="00B334F7">
            <w:pPr>
              <w:rPr>
                <w:lang w:val="en-US"/>
              </w:rPr>
            </w:pPr>
            <m:oMathPara>
              <m:oMath>
                <m:sSub>
                  <m:sSubPr>
                    <m:ctrlPr>
                      <w:rPr>
                        <w:rFonts w:ascii="Cambria Math" w:hAnsi="Cambria Math"/>
                        <w:i/>
                      </w:rPr>
                    </m:ctrlPr>
                  </m:sSubPr>
                  <m:e>
                    <m:r>
                      <w:rPr>
                        <w:rFonts w:ascii="Cambria Math" w:hAnsi="Cambria Math"/>
                      </w:rPr>
                      <m:t>P</m:t>
                    </m:r>
                  </m:e>
                  <m:sub>
                    <m:r>
                      <w:rPr>
                        <w:rFonts w:ascii="Cambria Math" w:hAnsi="Cambria Math"/>
                      </w:rPr>
                      <m:t>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w</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intra</m:t>
                    </m:r>
                    <m:r>
                      <w:rPr>
                        <w:rFonts w:ascii="Cambria Math" w:hAnsi="Cambria Math"/>
                      </w:rPr>
                      <m:t>-</m:t>
                    </m:r>
                    <m:r>
                      <w:rPr>
                        <w:rFonts w:ascii="Cambria Math" w:hAnsi="Cambria Math"/>
                      </w:rPr>
                      <m:t>SB</m:t>
                    </m:r>
                    <m:r>
                      <w:rPr>
                        <w:rFonts w:ascii="Cambria Math" w:hAnsi="Cambria Math"/>
                      </w:rPr>
                      <m:t xml:space="preserve">, </m:t>
                    </m:r>
                    <m:r>
                      <w:rPr>
                        <w:rFonts w:ascii="Cambria Math" w:hAnsi="Cambria Math"/>
                      </w:rPr>
                      <m:t>inter</m:t>
                    </m:r>
                    <m:r>
                      <w:rPr>
                        <w:rFonts w:ascii="Cambria Math" w:hAnsi="Cambria Math"/>
                      </w:rPr>
                      <m:t>-</m:t>
                    </m:r>
                    <m: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inter</m:t>
                    </m:r>
                    <m:r>
                      <w:rPr>
                        <w:rFonts w:ascii="Cambria Math" w:hAnsi="Cambria Math"/>
                      </w:rPr>
                      <m:t>-</m:t>
                    </m:r>
                    <m:r>
                      <w:rPr>
                        <w:rFonts w:ascii="Cambria Math" w:hAnsi="Cambria Math"/>
                      </w:rPr>
                      <m:t>SB</m:t>
                    </m:r>
                    <m:r>
                      <w:rPr>
                        <w:rFonts w:ascii="Cambria Math" w:hAnsi="Cambria Math"/>
                      </w:rPr>
                      <m:t>,</m:t>
                    </m:r>
                    <m:r>
                      <w:rPr>
                        <w:rFonts w:ascii="Cambria Math" w:hAnsi="Cambria Math"/>
                      </w:rPr>
                      <m:t>inter</m:t>
                    </m:r>
                    <m:r>
                      <w:rPr>
                        <w:rFonts w:ascii="Cambria Math" w:hAnsi="Cambria Math"/>
                      </w:rPr>
                      <m:t>-</m:t>
                    </m:r>
                    <m:r>
                      <w:rPr>
                        <w:rFonts w:ascii="Cambria Math" w:hAnsi="Cambria Math"/>
                      </w:rPr>
                      <m:t>gNB</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ACI</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self</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co</m:t>
                    </m:r>
                    <m:r>
                      <w:rPr>
                        <w:rFonts w:ascii="Cambria Math" w:hAnsi="Cambria Math"/>
                      </w:rPr>
                      <m:t>-</m:t>
                    </m:r>
                    <m:r>
                      <w:rPr>
                        <w:rFonts w:ascii="Cambria Math" w:hAnsi="Cambria Math"/>
                      </w:rPr>
                      <m:t>site</m:t>
                    </m:r>
                    <m:r>
                      <w:rPr>
                        <w:rFonts w:ascii="Cambria Math" w:hAnsi="Cambria Math"/>
                      </w:rPr>
                      <m:t>,</m:t>
                    </m:r>
                    <m:r>
                      <w:rPr>
                        <w:rFonts w:ascii="Cambria Math" w:hAnsi="Cambria Math"/>
                      </w:rPr>
                      <m:t>inter</m:t>
                    </m:r>
                    <m:r>
                      <w:rPr>
                        <w:rFonts w:ascii="Cambria Math" w:hAnsi="Cambria Math"/>
                      </w:rPr>
                      <m:t>-</m:t>
                    </m:r>
                    <m:r>
                      <w:rPr>
                        <w:rFonts w:ascii="Cambria Math" w:hAnsi="Cambria Math"/>
                      </w:rPr>
                      <m:t>sector</m:t>
                    </m:r>
                  </m:sub>
                </m:sSub>
              </m:oMath>
            </m:oMathPara>
          </w:p>
        </w:tc>
      </w:tr>
    </w:tbl>
    <w:p w14:paraId="4C0C2577" w14:textId="77777777" w:rsidR="00547383" w:rsidRPr="00B334F7" w:rsidRDefault="00547383" w:rsidP="007C1C29">
      <w:pPr>
        <w:jc w:val="both"/>
        <w:rPr>
          <w:lang w:val="en-US"/>
        </w:rPr>
      </w:pPr>
    </w:p>
    <w:p w14:paraId="043F3E06" w14:textId="699C49D5" w:rsidR="00B17092" w:rsidRPr="00B334F7" w:rsidRDefault="00CE5696" w:rsidP="007C1C29">
      <w:pPr>
        <w:jc w:val="both"/>
        <w:rPr>
          <w:lang w:val="en-US"/>
        </w:rPr>
      </w:pPr>
      <w:r w:rsidRPr="00B334F7">
        <w:rPr>
          <w:lang w:val="en-US"/>
        </w:rPr>
        <w:t xml:space="preserve">And </w:t>
      </w:r>
      <w:r w:rsidR="00B6750B" w:rsidRPr="00B334F7">
        <w:rPr>
          <w:lang w:val="en-US"/>
        </w:rPr>
        <w:t>particularly</w:t>
      </w:r>
      <w:r w:rsidRPr="00B334F7">
        <w:rPr>
          <w:lang w:val="en-US"/>
        </w:rPr>
        <w:t xml:space="preserve"> the interference from the adjacent channel (</w:t>
      </w:r>
      <m:oMath>
        <m:sSub>
          <m:sSubPr>
            <m:ctrlPr>
              <w:rPr>
                <w:rFonts w:ascii="Cambria Math" w:hAnsi="Cambria Math"/>
                <w:i/>
              </w:rPr>
            </m:ctrlPr>
          </m:sSubPr>
          <m:e>
            <m:r>
              <w:rPr>
                <w:rFonts w:ascii="Cambria Math" w:hAnsi="Cambria Math"/>
              </w:rPr>
              <m:t>I</m:t>
            </m:r>
          </m:e>
          <m:sub>
            <m:r>
              <w:rPr>
                <w:rFonts w:ascii="Cambria Math" w:hAnsi="Cambria Math"/>
              </w:rPr>
              <m:t>ACI</m:t>
            </m:r>
          </m:sub>
        </m:sSub>
      </m:oMath>
      <w:r w:rsidRPr="00CA4F15">
        <w:t>)</w:t>
      </w:r>
      <w:r w:rsidRPr="00B334F7">
        <w:rPr>
          <w:lang w:val="en-US"/>
        </w:rPr>
        <w:t>, is defined</w:t>
      </w:r>
      <w:r w:rsidR="00A40A11">
        <w:rPr>
          <w:lang w:val="en-US"/>
        </w:rPr>
        <w:t xml:space="preserve"> as</w:t>
      </w:r>
      <w:r w:rsidRPr="00B334F7">
        <w:rPr>
          <w:lang w:val="en-US"/>
        </w:rPr>
        <w:t>:</w:t>
      </w:r>
    </w:p>
    <w:tbl>
      <w:tblPr>
        <w:tblStyle w:val="TableGrid"/>
        <w:tblW w:w="0" w:type="auto"/>
        <w:tblLook w:val="04A0" w:firstRow="1" w:lastRow="0" w:firstColumn="1" w:lastColumn="0" w:noHBand="0" w:noVBand="1"/>
      </w:tblPr>
      <w:tblGrid>
        <w:gridCol w:w="9621"/>
      </w:tblGrid>
      <w:tr w:rsidR="00B94023" w:rsidRPr="00B94023" w14:paraId="71D464BE" w14:textId="77777777" w:rsidTr="006C02B8">
        <w:tc>
          <w:tcPr>
            <w:tcW w:w="0" w:type="auto"/>
          </w:tcPr>
          <w:p w14:paraId="6C74E381" w14:textId="77777777" w:rsidR="00B6750B" w:rsidRPr="00CA4F15" w:rsidRDefault="00B6750B" w:rsidP="00B6750B">
            <w:pPr>
              <w:rPr>
                <w:lang w:val="en-US"/>
              </w:rPr>
            </w:pPr>
            <w:r w:rsidRPr="00CA4F15">
              <w:rPr>
                <w:rFonts w:ascii="Cambria Math" w:hAnsi="Cambria Math"/>
                <w:i/>
                <w:iCs/>
                <w:lang w:val="en-US"/>
              </w:rPr>
              <w:t>I</w:t>
            </w:r>
            <w:r w:rsidRPr="00CA4F15">
              <w:rPr>
                <w:rFonts w:ascii="Cambria Math" w:hAnsi="Cambria Math"/>
                <w:i/>
                <w:iCs/>
                <w:vertAlign w:val="subscript"/>
                <w:lang w:val="en-US"/>
              </w:rPr>
              <w:t>ACI</w:t>
            </w:r>
            <w:r w:rsidRPr="00CA4F15">
              <w:rPr>
                <w:lang w:val="en-US"/>
              </w:rPr>
              <w:t xml:space="preserve"> is the adjacent channel interference from gNB transmitting on the DL channel in the aggressor network. The interference level is calculated as:</w:t>
            </w:r>
          </w:p>
          <w:p w14:paraId="5D110AB3" w14:textId="0683DD5B" w:rsidR="006C02B8" w:rsidRPr="00B334F7" w:rsidRDefault="00A861FC" w:rsidP="00B334F7">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m:t>
                        </m:r>
                        <m:r>
                          <w:rPr>
                            <w:rFonts w:ascii="Cambria Math" w:hAnsi="Cambria Math"/>
                            <w:lang w:val="en-US"/>
                          </w:rPr>
                          <m:t>,</m:t>
                        </m:r>
                        <m:r>
                          <w:rPr>
                            <w:rFonts w:ascii="Cambria Math" w:hAnsi="Cambria Math"/>
                            <w:lang w:val="en-US"/>
                          </w:rPr>
                          <m:t>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adjacent</m:t>
                        </m:r>
                        <m:r>
                          <w:rPr>
                            <w:rFonts w:ascii="Cambria Math" w:hAnsi="Cambria Math"/>
                            <w:lang w:val="en-US"/>
                          </w:rPr>
                          <m:t xml:space="preserve"> </m:t>
                        </m:r>
                        <m:r>
                          <w:rPr>
                            <w:rFonts w:ascii="Cambria Math" w:hAnsi="Cambria Math"/>
                            <w:lang w:val="en-US"/>
                          </w:rPr>
                          <m:t>network</m:t>
                        </m:r>
                        <m:r>
                          <w:rPr>
                            <w:rFonts w:ascii="Cambria Math" w:hAnsi="Cambria Math"/>
                            <w:lang w:val="en-US"/>
                          </w:rPr>
                          <m:t xml:space="preserve"> </m:t>
                        </m:r>
                        <m:r>
                          <w:rPr>
                            <w:rFonts w:ascii="Cambria Math" w:hAnsi="Cambria Math"/>
                            <w:lang w:val="en-US"/>
                          </w:rPr>
                          <m:t>gNB</m:t>
                        </m:r>
                        <m:r>
                          <w:rPr>
                            <w:rFonts w:ascii="Cambria Math" w:hAnsi="Cambria Math"/>
                            <w:lang w:val="en-US"/>
                          </w:rPr>
                          <m:t>→</m:t>
                        </m:r>
                        <m:r>
                          <w:rPr>
                            <w:rFonts w:ascii="Cambria Math" w:hAnsi="Cambria Math"/>
                            <w:lang w:val="en-US"/>
                          </w:rPr>
                          <m:t>serving</m:t>
                        </m:r>
                        <m:r>
                          <w:rPr>
                            <w:rFonts w:ascii="Cambria Math" w:hAnsi="Cambria Math"/>
                            <w:lang w:val="en-US"/>
                          </w:rPr>
                          <m:t xml:space="preserve"> </m:t>
                        </m:r>
                        <m:r>
                          <w:rPr>
                            <w:rFonts w:ascii="Cambria Math" w:hAnsi="Cambria Math"/>
                            <w:lang w:val="en-US"/>
                          </w:rPr>
                          <m:t>gNB</m:t>
                        </m:r>
                      </m:sub>
                    </m:sSub>
                  </m:den>
                </m:f>
              </m:oMath>
            </m:oMathPara>
          </w:p>
        </w:tc>
      </w:tr>
    </w:tbl>
    <w:p w14:paraId="4186917E" w14:textId="77777777" w:rsidR="00E83068" w:rsidRDefault="00E83068" w:rsidP="007C1C29">
      <w:pPr>
        <w:jc w:val="both"/>
        <w:rPr>
          <w:lang w:val="en-US"/>
        </w:rPr>
      </w:pPr>
    </w:p>
    <w:p w14:paraId="4829DC5B" w14:textId="3CF71E05" w:rsidR="00B6750B" w:rsidRDefault="00E83068" w:rsidP="007C1C29">
      <w:pPr>
        <w:jc w:val="both"/>
      </w:pPr>
      <w:r>
        <w:rPr>
          <w:lang w:val="en-US"/>
        </w:rPr>
        <w:t>In our view, the</w:t>
      </w:r>
      <w:r w:rsidR="001935AE">
        <w:rPr>
          <w:lang w:val="en-US"/>
        </w:rPr>
        <w:t xml:space="preserve"> current definition of the adjacent channel interference </w:t>
      </w:r>
      <w:r w:rsidR="00D15AC9">
        <w:rPr>
          <w:lang w:val="en-US"/>
        </w:rPr>
        <w:t xml:space="preserve">is missing the interference generated from UEs transmitting on the UL channel in the aggressor network. For instance, assume a TDD UL victim network that is interfered by an adjacent network operating in SBFD. </w:t>
      </w:r>
      <w:r w:rsidR="00273013">
        <w:rPr>
          <w:lang w:val="en-US"/>
        </w:rPr>
        <w:t>The adjacent channel interference should then be the sum of the interference generated by the aggressor BSs and aggressor UEs</w:t>
      </w:r>
      <w:r w:rsidR="00654370">
        <w:rPr>
          <w:lang w:val="en-US"/>
        </w:rPr>
        <w:t xml:space="preserve"> towards the victim </w:t>
      </w:r>
      <w:r w:rsidR="007B3BEC">
        <w:rPr>
          <w:lang w:val="en-US"/>
        </w:rPr>
        <w:t>BS</w:t>
      </w:r>
      <w:r w:rsidR="00273013">
        <w:rPr>
          <w:lang w:val="en-US"/>
        </w:rPr>
        <w:t xml:space="preserve">. Thus, we propose the following to be included in the definition of </w:t>
      </w:r>
      <m:oMath>
        <m:sSub>
          <m:sSubPr>
            <m:ctrlPr>
              <w:rPr>
                <w:rFonts w:ascii="Cambria Math" w:hAnsi="Cambria Math"/>
                <w:i/>
              </w:rPr>
            </m:ctrlPr>
          </m:sSubPr>
          <m:e>
            <m:r>
              <w:rPr>
                <w:rFonts w:ascii="Cambria Math" w:hAnsi="Cambria Math"/>
              </w:rPr>
              <m:t>I</m:t>
            </m:r>
          </m:e>
          <m:sub>
            <m:r>
              <w:rPr>
                <w:rFonts w:ascii="Cambria Math" w:hAnsi="Cambria Math"/>
              </w:rPr>
              <m:t>ACI</m:t>
            </m:r>
          </m:sub>
        </m:sSub>
      </m:oMath>
      <w:r w:rsidR="00273013">
        <w:t>:</w:t>
      </w:r>
    </w:p>
    <w:p w14:paraId="4E5518B9" w14:textId="34EC839A" w:rsidR="00811321" w:rsidRPr="00CA4F15" w:rsidRDefault="00811321" w:rsidP="00811321">
      <w:pPr>
        <w:rPr>
          <w:lang w:val="en-US"/>
        </w:rPr>
      </w:pPr>
      <w:r w:rsidRPr="00CA4F15">
        <w:rPr>
          <w:rFonts w:ascii="Cambria Math" w:hAnsi="Cambria Math"/>
          <w:i/>
          <w:iCs/>
          <w:lang w:val="en-US"/>
        </w:rPr>
        <w:t>I</w:t>
      </w:r>
      <w:r w:rsidRPr="00CA4F15">
        <w:rPr>
          <w:rFonts w:ascii="Cambria Math" w:hAnsi="Cambria Math"/>
          <w:i/>
          <w:iCs/>
          <w:vertAlign w:val="subscript"/>
          <w:lang w:val="en-US"/>
        </w:rPr>
        <w:t>ACI</w:t>
      </w:r>
      <w:r w:rsidRPr="00CA4F15">
        <w:rPr>
          <w:lang w:val="en-US"/>
        </w:rPr>
        <w:t xml:space="preserve"> is the </w:t>
      </w:r>
      <w:r w:rsidR="004B75F3">
        <w:rPr>
          <w:lang w:val="en-US"/>
        </w:rPr>
        <w:t xml:space="preserve">sum of the </w:t>
      </w:r>
      <w:r w:rsidRPr="00CA4F15">
        <w:rPr>
          <w:lang w:val="en-US"/>
        </w:rPr>
        <w:t>adjacent channel interference from gNB transmitting on the DL channel in the aggressor network</w:t>
      </w:r>
      <w:r w:rsidR="004B75F3">
        <w:rPr>
          <w:lang w:val="en-US"/>
        </w:rPr>
        <w:t xml:space="preserve"> and the adjacent channel interference from UEs transmitting on the UL channel in the aggressor network</w:t>
      </w:r>
      <w:r w:rsidRPr="00CA4F15">
        <w:rPr>
          <w:lang w:val="en-US"/>
        </w:rPr>
        <w:t>. The interference level is calculated as:</w:t>
      </w:r>
    </w:p>
    <w:p w14:paraId="6647CED3" w14:textId="2A543AF3" w:rsidR="00273013" w:rsidRPr="00B334F7" w:rsidRDefault="00A861FC" w:rsidP="00811321">
      <w:pPr>
        <w:jc w:val="both"/>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m:t>
                  </m:r>
                  <m:r>
                    <w:rPr>
                      <w:rFonts w:ascii="Cambria Math" w:hAnsi="Cambria Math"/>
                      <w:lang w:val="en-US"/>
                    </w:rPr>
                    <m:t>,</m:t>
                  </m:r>
                  <m:r>
                    <w:rPr>
                      <w:rFonts w:ascii="Cambria Math" w:hAnsi="Cambria Math"/>
                      <w:lang w:val="en-US"/>
                    </w:rPr>
                    <m:t>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adjacent</m:t>
                  </m:r>
                  <m:r>
                    <w:rPr>
                      <w:rFonts w:ascii="Cambria Math" w:hAnsi="Cambria Math"/>
                      <w:lang w:val="en-US"/>
                    </w:rPr>
                    <m:t xml:space="preserve"> </m:t>
                  </m:r>
                  <m:r>
                    <w:rPr>
                      <w:rFonts w:ascii="Cambria Math" w:hAnsi="Cambria Math"/>
                      <w:lang w:val="en-US"/>
                    </w:rPr>
                    <m:t>network</m:t>
                  </m:r>
                  <m:r>
                    <w:rPr>
                      <w:rFonts w:ascii="Cambria Math" w:hAnsi="Cambria Math"/>
                      <w:lang w:val="en-US"/>
                    </w:rPr>
                    <m:t xml:space="preserve"> </m:t>
                  </m:r>
                  <m:r>
                    <w:rPr>
                      <w:rFonts w:ascii="Cambria Math" w:hAnsi="Cambria Math"/>
                      <w:lang w:val="en-US"/>
                    </w:rPr>
                    <m:t>gNB</m:t>
                  </m:r>
                  <m:r>
                    <w:rPr>
                      <w:rFonts w:ascii="Cambria Math" w:hAnsi="Cambria Math"/>
                      <w:lang w:val="en-US"/>
                    </w:rPr>
                    <m:t>→</m:t>
                  </m:r>
                  <m:r>
                    <w:rPr>
                      <w:rFonts w:ascii="Cambria Math" w:hAnsi="Cambria Math"/>
                      <w:lang w:val="en-US"/>
                    </w:rPr>
                    <m:t>serving</m:t>
                  </m:r>
                  <m:r>
                    <w:rPr>
                      <w:rFonts w:ascii="Cambria Math" w:hAnsi="Cambria Math"/>
                      <w:lang w:val="en-US"/>
                    </w:rPr>
                    <m:t xml:space="preserve"> </m:t>
                  </m:r>
                  <m:r>
                    <w:rPr>
                      <w:rFonts w:ascii="Cambria Math" w:hAnsi="Cambria Math"/>
                      <w:lang w:val="en-US"/>
                    </w:rPr>
                    <m:t>gNB</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m:t>
                  </m:r>
                  <m:r>
                    <w:rPr>
                      <w:rFonts w:ascii="Cambria Math" w:hAnsi="Cambria Math"/>
                      <w:lang w:val="en-US"/>
                    </w:rPr>
                    <m:t>,</m:t>
                  </m:r>
                  <m:r>
                    <w:rPr>
                      <w:rFonts w:ascii="Cambria Math" w:hAnsi="Cambria Math"/>
                      <w:lang w:val="en-US"/>
                    </w:rPr>
                    <m:t>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adjacent</m:t>
                  </m:r>
                  <m:r>
                    <w:rPr>
                      <w:rFonts w:ascii="Cambria Math" w:hAnsi="Cambria Math"/>
                      <w:lang w:val="en-US"/>
                    </w:rPr>
                    <m:t xml:space="preserve"> </m:t>
                  </m:r>
                  <m:r>
                    <w:rPr>
                      <w:rFonts w:ascii="Cambria Math" w:hAnsi="Cambria Math"/>
                      <w:lang w:val="en-US"/>
                    </w:rPr>
                    <m:t>network</m:t>
                  </m:r>
                  <m:r>
                    <w:rPr>
                      <w:rFonts w:ascii="Cambria Math" w:hAnsi="Cambria Math"/>
                      <w:lang w:val="en-US"/>
                    </w:rPr>
                    <m:t xml:space="preserve"> </m:t>
                  </m:r>
                  <m:r>
                    <w:rPr>
                      <w:rFonts w:ascii="Cambria Math" w:hAnsi="Cambria Math"/>
                      <w:lang w:val="en-US"/>
                    </w:rPr>
                    <m:t>UE</m:t>
                  </m:r>
                  <m:r>
                    <w:rPr>
                      <w:rFonts w:ascii="Cambria Math" w:hAnsi="Cambria Math"/>
                      <w:lang w:val="en-US"/>
                    </w:rPr>
                    <m:t>→</m:t>
                  </m:r>
                  <m:r>
                    <w:rPr>
                      <w:rFonts w:ascii="Cambria Math" w:hAnsi="Cambria Math"/>
                      <w:lang w:val="en-US"/>
                    </w:rPr>
                    <m:t>serving</m:t>
                  </m:r>
                  <m:r>
                    <w:rPr>
                      <w:rFonts w:ascii="Cambria Math" w:hAnsi="Cambria Math"/>
                      <w:lang w:val="en-US"/>
                    </w:rPr>
                    <m:t xml:space="preserve"> </m:t>
                  </m:r>
                  <m:r>
                    <w:rPr>
                      <w:rFonts w:ascii="Cambria Math" w:hAnsi="Cambria Math"/>
                      <w:lang w:val="en-US"/>
                    </w:rPr>
                    <m:t>gNB</m:t>
                  </m:r>
                </m:sub>
              </m:sSub>
            </m:den>
          </m:f>
          <m:r>
            <w:rPr>
              <w:rFonts w:ascii="Cambria Math" w:hAnsi="Cambria Math"/>
              <w:lang w:val="en-US"/>
            </w:rPr>
            <m:t xml:space="preserve"> </m:t>
          </m:r>
        </m:oMath>
      </m:oMathPara>
    </w:p>
    <w:p w14:paraId="0936CB8E" w14:textId="673B60E9" w:rsidR="003A2802" w:rsidRPr="00B334F7" w:rsidRDefault="003A2802" w:rsidP="007C1C29">
      <w:pPr>
        <w:jc w:val="both"/>
        <w:rPr>
          <w:b/>
          <w:bCs/>
          <w:lang w:val="en-US"/>
        </w:rPr>
      </w:pPr>
      <w:r w:rsidRPr="00B334F7">
        <w:rPr>
          <w:b/>
          <w:bCs/>
          <w:lang w:val="en-US"/>
        </w:rPr>
        <w:t xml:space="preserve">Proposal </w:t>
      </w:r>
      <w:r w:rsidR="00BF0E61">
        <w:rPr>
          <w:b/>
          <w:bCs/>
          <w:lang w:val="en-US"/>
        </w:rPr>
        <w:t>1</w:t>
      </w:r>
      <w:r w:rsidRPr="00B334F7">
        <w:rPr>
          <w:b/>
          <w:bCs/>
          <w:lang w:val="en-US"/>
        </w:rPr>
        <w:t>:</w:t>
      </w:r>
      <w:r w:rsidR="00824E3C" w:rsidRPr="00B334F7">
        <w:rPr>
          <w:b/>
          <w:bCs/>
          <w:lang w:val="en-US"/>
        </w:rPr>
        <w:t xml:space="preserve"> Consider the following update on the adjacent channel interference calculation for the input power of the blocking model:</w:t>
      </w:r>
    </w:p>
    <w:p w14:paraId="421F6D11" w14:textId="77777777" w:rsidR="00824E3C" w:rsidRPr="00824E3C" w:rsidRDefault="00824E3C" w:rsidP="00B334F7">
      <w:pPr>
        <w:pStyle w:val="ListParagraph"/>
        <w:numPr>
          <w:ilvl w:val="0"/>
          <w:numId w:val="119"/>
        </w:numPr>
        <w:rPr>
          <w:lang w:val="en-US"/>
        </w:rPr>
      </w:pPr>
      <w:r w:rsidRPr="00824E3C">
        <w:rPr>
          <w:rFonts w:ascii="Cambria Math" w:hAnsi="Cambria Math"/>
          <w:i/>
          <w:iCs/>
          <w:lang w:val="en-US"/>
        </w:rPr>
        <w:t>I</w:t>
      </w:r>
      <w:r w:rsidRPr="00824E3C">
        <w:rPr>
          <w:rFonts w:ascii="Cambria Math" w:hAnsi="Cambria Math"/>
          <w:i/>
          <w:iCs/>
          <w:vertAlign w:val="subscript"/>
          <w:lang w:val="en-US"/>
        </w:rPr>
        <w:t>ACI</w:t>
      </w:r>
      <w:r w:rsidRPr="00824E3C">
        <w:rPr>
          <w:lang w:val="en-US"/>
        </w:rPr>
        <w:t xml:space="preserve"> is the sum of the adjacent channel interference from gNB transmitting on the DL channel in the aggressor network and the adjacent channel interference from UEs transmitting on the UL channel in the aggressor network. The interference level is calculated as:</w:t>
      </w:r>
    </w:p>
    <w:p w14:paraId="4AA7F473" w14:textId="16B38C5E" w:rsidR="00824E3C" w:rsidRPr="00B334F7" w:rsidRDefault="00A861FC" w:rsidP="00B334F7">
      <w:pPr>
        <w:pStyle w:val="ListParagraph"/>
        <w:jc w:val="both"/>
        <w:rPr>
          <w:b/>
          <w:bCs/>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m:t>
                  </m:r>
                  <m:r>
                    <w:rPr>
                      <w:rFonts w:ascii="Cambria Math" w:hAnsi="Cambria Math"/>
                      <w:lang w:val="en-US"/>
                    </w:rPr>
                    <m:t>,</m:t>
                  </m:r>
                  <m:r>
                    <w:rPr>
                      <w:rFonts w:ascii="Cambria Math" w:hAnsi="Cambria Math"/>
                      <w:lang w:val="en-US"/>
                    </w:rPr>
                    <m:t>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adjacent</m:t>
                  </m:r>
                  <m:r>
                    <w:rPr>
                      <w:rFonts w:ascii="Cambria Math" w:hAnsi="Cambria Math"/>
                      <w:lang w:val="en-US"/>
                    </w:rPr>
                    <m:t xml:space="preserve"> </m:t>
                  </m:r>
                  <m:r>
                    <w:rPr>
                      <w:rFonts w:ascii="Cambria Math" w:hAnsi="Cambria Math"/>
                      <w:lang w:val="en-US"/>
                    </w:rPr>
                    <m:t>network</m:t>
                  </m:r>
                  <m:r>
                    <w:rPr>
                      <w:rFonts w:ascii="Cambria Math" w:hAnsi="Cambria Math"/>
                      <w:lang w:val="en-US"/>
                    </w:rPr>
                    <m:t xml:space="preserve"> </m:t>
                  </m:r>
                  <m:r>
                    <w:rPr>
                      <w:rFonts w:ascii="Cambria Math" w:hAnsi="Cambria Math"/>
                      <w:lang w:val="en-US"/>
                    </w:rPr>
                    <m:t>gNB</m:t>
                  </m:r>
                  <m:r>
                    <w:rPr>
                      <w:rFonts w:ascii="Cambria Math" w:hAnsi="Cambria Math" w:hint="eastAsia"/>
                      <w:lang w:val="en-US"/>
                    </w:rPr>
                    <m:t>→</m:t>
                  </m:r>
                  <m:r>
                    <w:rPr>
                      <w:rFonts w:ascii="Cambria Math" w:hAnsi="Cambria Math"/>
                      <w:lang w:val="en-US"/>
                    </w:rPr>
                    <m:t>serving</m:t>
                  </m:r>
                  <m:r>
                    <w:rPr>
                      <w:rFonts w:ascii="Cambria Math" w:hAnsi="Cambria Math"/>
                      <w:lang w:val="en-US"/>
                    </w:rPr>
                    <m:t xml:space="preserve"> </m:t>
                  </m:r>
                  <m:r>
                    <w:rPr>
                      <w:rFonts w:ascii="Cambria Math" w:hAnsi="Cambria Math"/>
                      <w:lang w:val="en-US"/>
                    </w:rPr>
                    <m:t>gNB</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m:t>
                  </m:r>
                  <m:r>
                    <w:rPr>
                      <w:rFonts w:ascii="Cambria Math" w:hAnsi="Cambria Math"/>
                      <w:lang w:val="en-US"/>
                    </w:rPr>
                    <m:t>,</m:t>
                  </m:r>
                  <m:r>
                    <w:rPr>
                      <w:rFonts w:ascii="Cambria Math" w:hAnsi="Cambria Math"/>
                      <w:lang w:val="en-US"/>
                    </w:rPr>
                    <m:t>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adjacent</m:t>
                  </m:r>
                  <m:r>
                    <w:rPr>
                      <w:rFonts w:ascii="Cambria Math" w:hAnsi="Cambria Math"/>
                      <w:lang w:val="en-US"/>
                    </w:rPr>
                    <m:t xml:space="preserve"> </m:t>
                  </m:r>
                  <m:r>
                    <w:rPr>
                      <w:rFonts w:ascii="Cambria Math" w:hAnsi="Cambria Math"/>
                      <w:lang w:val="en-US"/>
                    </w:rPr>
                    <m:t>network</m:t>
                  </m:r>
                  <m:r>
                    <w:rPr>
                      <w:rFonts w:ascii="Cambria Math" w:hAnsi="Cambria Math"/>
                      <w:lang w:val="en-US"/>
                    </w:rPr>
                    <m:t xml:space="preserve"> </m:t>
                  </m:r>
                  <m:r>
                    <w:rPr>
                      <w:rFonts w:ascii="Cambria Math" w:hAnsi="Cambria Math"/>
                      <w:lang w:val="en-US"/>
                    </w:rPr>
                    <m:t>UE</m:t>
                  </m:r>
                  <m:r>
                    <w:rPr>
                      <w:rFonts w:ascii="Cambria Math" w:hAnsi="Cambria Math" w:hint="eastAsia"/>
                      <w:lang w:val="en-US"/>
                    </w:rPr>
                    <m:t>→</m:t>
                  </m:r>
                  <m:r>
                    <w:rPr>
                      <w:rFonts w:ascii="Cambria Math" w:hAnsi="Cambria Math"/>
                      <w:lang w:val="en-US"/>
                    </w:rPr>
                    <m:t>serving</m:t>
                  </m:r>
                  <m:r>
                    <w:rPr>
                      <w:rFonts w:ascii="Cambria Math" w:hAnsi="Cambria Math"/>
                      <w:lang w:val="en-US"/>
                    </w:rPr>
                    <m:t xml:space="preserve"> </m:t>
                  </m:r>
                  <m:r>
                    <w:rPr>
                      <w:rFonts w:ascii="Cambria Math" w:hAnsi="Cambria Math"/>
                      <w:lang w:val="en-US"/>
                    </w:rPr>
                    <m:t>gNB</m:t>
                  </m:r>
                </m:sub>
              </m:sSub>
            </m:den>
          </m:f>
          <m:r>
            <m:rPr>
              <m:sty m:val="bi"/>
            </m:rPr>
            <w:rPr>
              <w:rFonts w:ascii="Cambria Math" w:hAnsi="Cambria Math"/>
              <w:lang w:val="en-US"/>
            </w:rPr>
            <m:t xml:space="preserve"> </m:t>
          </m:r>
        </m:oMath>
      </m:oMathPara>
    </w:p>
    <w:p w14:paraId="788E43FA" w14:textId="77777777" w:rsidR="008D0ED5" w:rsidRPr="008D0ED5" w:rsidRDefault="008D0ED5" w:rsidP="008D0ED5">
      <w:pPr>
        <w:rPr>
          <w:lang w:val="en-US"/>
        </w:rPr>
      </w:pPr>
    </w:p>
    <w:p w14:paraId="28972503" w14:textId="53958899" w:rsidR="00B16459" w:rsidRPr="0089599F" w:rsidRDefault="00150D74" w:rsidP="0089599F">
      <w:pPr>
        <w:pStyle w:val="Heading1"/>
        <w:numPr>
          <w:ilvl w:val="0"/>
          <w:numId w:val="13"/>
        </w:numPr>
        <w:jc w:val="both"/>
        <w:rPr>
          <w:rFonts w:ascii="Arial" w:eastAsia="Times New Roman" w:hAnsi="Arial" w:cs="Arial"/>
          <w:lang w:val="en-US"/>
        </w:rPr>
      </w:pPr>
      <w:r w:rsidRPr="0089599F">
        <w:rPr>
          <w:rFonts w:ascii="Arial" w:eastAsia="Times New Roman" w:hAnsi="Arial" w:cs="Arial"/>
          <w:lang w:val="en-US"/>
        </w:rPr>
        <w:t>Adjacent channel co</w:t>
      </w:r>
      <w:r w:rsidR="00B16459" w:rsidRPr="0089599F">
        <w:rPr>
          <w:rFonts w:ascii="Arial" w:eastAsia="Times New Roman" w:hAnsi="Arial" w:cs="Arial"/>
          <w:lang w:val="en-US"/>
        </w:rPr>
        <w:t>existence results</w:t>
      </w:r>
    </w:p>
    <w:p w14:paraId="3BC4B8D7" w14:textId="78F41F3A" w:rsidR="000F7242" w:rsidRDefault="00B714DD" w:rsidP="000F7242">
      <w:pPr>
        <w:rPr>
          <w:lang w:val="en-US"/>
        </w:rPr>
      </w:pPr>
      <w:r w:rsidRPr="005E0AB0">
        <w:rPr>
          <w:lang w:val="en-US"/>
        </w:rPr>
        <w:t xml:space="preserve">We present in this section </w:t>
      </w:r>
      <w:r w:rsidR="005132F0" w:rsidRPr="005E0AB0">
        <w:rPr>
          <w:lang w:val="en-US"/>
        </w:rPr>
        <w:t xml:space="preserve">our coexistence analysis for the </w:t>
      </w:r>
      <w:r w:rsidR="00CF3997" w:rsidRPr="005E0AB0">
        <w:rPr>
          <w:lang w:val="en-US"/>
        </w:rPr>
        <w:t xml:space="preserve">following scenarios: </w:t>
      </w:r>
      <w:r w:rsidR="00E11805">
        <w:rPr>
          <w:lang w:val="en-US"/>
        </w:rPr>
        <w:t>U</w:t>
      </w:r>
      <w:r w:rsidR="00CF3997" w:rsidRPr="005E0AB0">
        <w:rPr>
          <w:lang w:val="en-US"/>
        </w:rPr>
        <w:t xml:space="preserve">rban </w:t>
      </w:r>
      <w:r w:rsidR="00E11805">
        <w:rPr>
          <w:lang w:val="en-US"/>
        </w:rPr>
        <w:t>M</w:t>
      </w:r>
      <w:r w:rsidR="00CF3997" w:rsidRPr="005E0AB0">
        <w:rPr>
          <w:lang w:val="en-US"/>
        </w:rPr>
        <w:t>acro</w:t>
      </w:r>
      <w:r w:rsidR="00E11805">
        <w:rPr>
          <w:lang w:val="en-US"/>
        </w:rPr>
        <w:t xml:space="preserve"> (FR1 and FR2-1)</w:t>
      </w:r>
      <w:r w:rsidR="00CF3997" w:rsidRPr="005E0AB0">
        <w:rPr>
          <w:lang w:val="en-US"/>
        </w:rPr>
        <w:t xml:space="preserve">, </w:t>
      </w:r>
      <w:r w:rsidR="00E11805">
        <w:rPr>
          <w:lang w:val="en-US"/>
        </w:rPr>
        <w:t>U</w:t>
      </w:r>
      <w:r w:rsidR="00CF3997" w:rsidRPr="005E0AB0">
        <w:rPr>
          <w:lang w:val="en-US"/>
        </w:rPr>
        <w:t xml:space="preserve">rban </w:t>
      </w:r>
      <w:r w:rsidR="00E11805">
        <w:rPr>
          <w:lang w:val="en-US"/>
        </w:rPr>
        <w:t>H</w:t>
      </w:r>
      <w:r w:rsidR="00CF3997" w:rsidRPr="005E0AB0">
        <w:rPr>
          <w:lang w:val="en-US"/>
        </w:rPr>
        <w:t>otspot, UMi-to-UMi and UMa-to-UMi.</w:t>
      </w:r>
      <w:r w:rsidR="00B50260" w:rsidRPr="005E0AB0">
        <w:rPr>
          <w:lang w:val="en-US"/>
        </w:rPr>
        <w:t xml:space="preserve"> The results presented here calculate the performance degradation using </w:t>
      </w:r>
      <w:r w:rsidR="008F4A03">
        <w:rPr>
          <w:lang w:val="en-US"/>
        </w:rPr>
        <w:t>“no adjacent interference”</w:t>
      </w:r>
      <w:r w:rsidR="006623D1" w:rsidRPr="005E0AB0">
        <w:rPr>
          <w:lang w:val="en-US"/>
        </w:rPr>
        <w:t xml:space="preserve"> </w:t>
      </w:r>
      <w:r w:rsidR="00B50260" w:rsidRPr="005E0AB0">
        <w:rPr>
          <w:lang w:val="en-US"/>
        </w:rPr>
        <w:t>as reference</w:t>
      </w:r>
      <w:r w:rsidR="006623D1" w:rsidRPr="005E0AB0">
        <w:rPr>
          <w:lang w:val="en-US"/>
        </w:rPr>
        <w:t xml:space="preserve">. </w:t>
      </w:r>
      <w:r w:rsidR="00CA351F" w:rsidRPr="005E0AB0">
        <w:rPr>
          <w:lang w:val="en-US"/>
        </w:rPr>
        <w:t>All the results presented here are also collected in excel spreadsheet for data collection.</w:t>
      </w:r>
      <w:r w:rsidR="005E0AB0" w:rsidRPr="005E0AB0">
        <w:rPr>
          <w:lang w:val="en-US"/>
        </w:rPr>
        <w:t xml:space="preserve"> Additionally, how the performance evolves by applying a positive offset to the ACIR is also presented in the excel spreadsheet</w:t>
      </w:r>
      <w:r w:rsidR="008F4A03">
        <w:rPr>
          <w:lang w:val="en-US"/>
        </w:rPr>
        <w:t xml:space="preserve"> collected by different companies</w:t>
      </w:r>
      <w:r w:rsidR="005E0AB0" w:rsidRPr="005E0AB0">
        <w:rPr>
          <w:lang w:val="en-US"/>
        </w:rPr>
        <w:t>.</w:t>
      </w:r>
      <w:r w:rsidR="006720F5">
        <w:rPr>
          <w:lang w:val="en-US"/>
        </w:rPr>
        <w:t xml:space="preserve"> </w:t>
      </w:r>
      <w:r w:rsidR="006720F5" w:rsidRPr="00B334F7">
        <w:rPr>
          <w:lang w:val="en-US"/>
        </w:rPr>
        <w:t>The simulations are conducted using as reference the WFs agreed for the different scenarios</w:t>
      </w:r>
      <w:r w:rsidR="0032264E" w:rsidRPr="00B334F7">
        <w:rPr>
          <w:lang w:val="en-US"/>
        </w:rPr>
        <w:t xml:space="preserve"> [</w:t>
      </w:r>
      <w:r w:rsidR="00095A4A" w:rsidRPr="00B334F7">
        <w:rPr>
          <w:lang w:val="en-US"/>
        </w:rPr>
        <w:t>3, 4</w:t>
      </w:r>
      <w:r w:rsidR="0032264E" w:rsidRPr="00B334F7">
        <w:rPr>
          <w:lang w:val="en-US"/>
        </w:rPr>
        <w:t>].</w:t>
      </w:r>
    </w:p>
    <w:p w14:paraId="48CFA016" w14:textId="64EAE81C" w:rsidR="00690B21" w:rsidRDefault="007B23DB" w:rsidP="000F7242">
      <w:pPr>
        <w:rPr>
          <w:lang w:val="en-US"/>
        </w:rPr>
      </w:pPr>
      <w:r>
        <w:rPr>
          <w:lang w:val="en-US"/>
        </w:rPr>
        <w:t xml:space="preserve">On the </w:t>
      </w:r>
      <w:r w:rsidR="00830351">
        <w:rPr>
          <w:lang w:val="en-US"/>
        </w:rPr>
        <w:t>receiver blocking model</w:t>
      </w:r>
      <w:r w:rsidR="00CF065E">
        <w:rPr>
          <w:lang w:val="en-US"/>
        </w:rPr>
        <w:t xml:space="preserve"> for FR1 Urban Macro</w:t>
      </w:r>
      <w:r w:rsidR="00830351">
        <w:rPr>
          <w:lang w:val="en-US"/>
        </w:rPr>
        <w:t>,</w:t>
      </w:r>
      <w:r w:rsidR="007B2D0B">
        <w:rPr>
          <w:lang w:val="en-US"/>
        </w:rPr>
        <w:t xml:space="preserve"> </w:t>
      </w:r>
      <w:r w:rsidR="00557C3E">
        <w:rPr>
          <w:lang w:val="en-US"/>
        </w:rPr>
        <w:t>to ensure alignment with RAN1 and considering that RAN4 has not reached consensus on the feasibility of sub-band filter, the NF model without sub-band filter (</w:t>
      </w:r>
      <w:r w:rsidR="00557C3E" w:rsidRPr="00286282">
        <w:rPr>
          <w:lang w:val="en-US"/>
        </w:rPr>
        <w:t>A = -43dBm</w:t>
      </w:r>
      <w:r w:rsidR="00557C3E">
        <w:rPr>
          <w:lang w:val="en-US"/>
        </w:rPr>
        <w:t>,</w:t>
      </w:r>
      <w:r w:rsidR="00557C3E" w:rsidRPr="00286282">
        <w:rPr>
          <w:lang w:val="en-US"/>
        </w:rPr>
        <w:t xml:space="preserve"> B = -</w:t>
      </w:r>
      <w:r w:rsidR="00557C3E" w:rsidRPr="00286282">
        <w:rPr>
          <w:lang w:val="en-US"/>
        </w:rPr>
        <w:lastRenderedPageBreak/>
        <w:t>25dBm</w:t>
      </w:r>
      <w:r w:rsidR="00557C3E">
        <w:rPr>
          <w:lang w:val="en-US"/>
        </w:rPr>
        <w:t>,</w:t>
      </w:r>
      <w:r w:rsidR="00557C3E" w:rsidRPr="00286282">
        <w:rPr>
          <w:lang w:val="en-US"/>
        </w:rPr>
        <w:t xml:space="preserve"> C = 5dB</w:t>
      </w:r>
      <w:r w:rsidR="00557C3E">
        <w:rPr>
          <w:lang w:val="en-US"/>
        </w:rPr>
        <w:t xml:space="preserve">, </w:t>
      </w:r>
      <w:r w:rsidR="00557C3E" w:rsidRPr="00286282">
        <w:rPr>
          <w:lang w:val="en-US"/>
        </w:rPr>
        <w:t>D = 14dB</w:t>
      </w:r>
      <w:r w:rsidR="00557C3E">
        <w:rPr>
          <w:lang w:val="en-US"/>
        </w:rPr>
        <w:t>) is adopted.</w:t>
      </w:r>
      <w:r w:rsidR="007B2D0B">
        <w:rPr>
          <w:lang w:val="en-US"/>
        </w:rPr>
        <w:t xml:space="preserve"> Note that</w:t>
      </w:r>
      <w:r w:rsidR="00CF065E">
        <w:rPr>
          <w:lang w:val="en-US"/>
        </w:rPr>
        <w:t xml:space="preserve"> </w:t>
      </w:r>
      <w:r w:rsidR="00F23BAD">
        <w:rPr>
          <w:lang w:val="en-US"/>
        </w:rPr>
        <w:t xml:space="preserve">two </w:t>
      </w:r>
      <w:r w:rsidR="00557C3E">
        <w:rPr>
          <w:lang w:val="en-US"/>
        </w:rPr>
        <w:t>options with and without sub-band filter</w:t>
      </w:r>
      <w:r w:rsidR="00EB2981">
        <w:rPr>
          <w:lang w:val="en-US"/>
        </w:rPr>
        <w:t xml:space="preserve"> </w:t>
      </w:r>
      <w:r w:rsidR="00F23BAD">
        <w:rPr>
          <w:lang w:val="en-US"/>
        </w:rPr>
        <w:t xml:space="preserve">were </w:t>
      </w:r>
      <w:r w:rsidR="00EB2981">
        <w:rPr>
          <w:lang w:val="en-US"/>
        </w:rPr>
        <w:t>communicated</w:t>
      </w:r>
      <w:r w:rsidR="00957CB5">
        <w:rPr>
          <w:lang w:val="en-US"/>
        </w:rPr>
        <w:t xml:space="preserve"> </w:t>
      </w:r>
      <w:r w:rsidR="00557C3E">
        <w:rPr>
          <w:lang w:val="en-US"/>
        </w:rPr>
        <w:t>by RAN4</w:t>
      </w:r>
      <w:r w:rsidR="00957CB5">
        <w:rPr>
          <w:lang w:val="en-US"/>
        </w:rPr>
        <w:t xml:space="preserve"> </w:t>
      </w:r>
      <w:r w:rsidR="00EB2981">
        <w:rPr>
          <w:lang w:val="en-US"/>
        </w:rPr>
        <w:t>to RAN1 in</w:t>
      </w:r>
      <w:r w:rsidR="00CF065E">
        <w:rPr>
          <w:lang w:val="en-US"/>
        </w:rPr>
        <w:t xml:space="preserve"> </w:t>
      </w:r>
      <w:r w:rsidR="000E3916">
        <w:rPr>
          <w:lang w:val="en-US"/>
        </w:rPr>
        <w:t>[</w:t>
      </w:r>
      <w:r w:rsidR="000E3916" w:rsidRPr="000E3916">
        <w:rPr>
          <w:lang w:val="en-US"/>
        </w:rPr>
        <w:t>R4-2300693</w:t>
      </w:r>
      <w:r w:rsidR="000E3916">
        <w:rPr>
          <w:lang w:val="en-US"/>
        </w:rPr>
        <w:t>]</w:t>
      </w:r>
      <w:r w:rsidR="00830351">
        <w:rPr>
          <w:lang w:val="en-US"/>
        </w:rPr>
        <w:t xml:space="preserve"> </w:t>
      </w:r>
      <w:r w:rsidR="00CE6A07">
        <w:rPr>
          <w:lang w:val="en-US"/>
        </w:rPr>
        <w:t>and [</w:t>
      </w:r>
      <w:r w:rsidR="00CE6A07" w:rsidRPr="00CE6A07">
        <w:rPr>
          <w:lang w:val="en-US"/>
        </w:rPr>
        <w:t>R4-2306004</w:t>
      </w:r>
      <w:r w:rsidR="00CE6A07">
        <w:rPr>
          <w:lang w:val="en-US"/>
        </w:rPr>
        <w:t>]</w:t>
      </w:r>
      <w:r w:rsidR="00CF0388">
        <w:rPr>
          <w:lang w:val="en-US"/>
        </w:rPr>
        <w:t>, where the case without sub-band filter (from [</w:t>
      </w:r>
      <w:r w:rsidR="00CF0388" w:rsidRPr="000E3916">
        <w:rPr>
          <w:lang w:val="en-US"/>
        </w:rPr>
        <w:t>R4-2300693</w:t>
      </w:r>
      <w:r w:rsidR="00CF0388">
        <w:rPr>
          <w:lang w:val="en-US"/>
        </w:rPr>
        <w:t xml:space="preserve">]) was adopted </w:t>
      </w:r>
      <w:r w:rsidR="004E08C7">
        <w:rPr>
          <w:lang w:val="en-US"/>
        </w:rPr>
        <w:t>as the baseline assumption in</w:t>
      </w:r>
      <w:r w:rsidR="00CF0388">
        <w:rPr>
          <w:lang w:val="en-US"/>
        </w:rPr>
        <w:t xml:space="preserve"> RAN1 </w:t>
      </w:r>
      <w:r w:rsidR="004E08C7">
        <w:rPr>
          <w:lang w:val="en-US"/>
        </w:rPr>
        <w:t xml:space="preserve">given that </w:t>
      </w:r>
      <w:r w:rsidR="003B73AF">
        <w:rPr>
          <w:lang w:val="en-US"/>
        </w:rPr>
        <w:t xml:space="preserve">RAN4 </w:t>
      </w:r>
      <w:r w:rsidR="00EA67B8">
        <w:rPr>
          <w:lang w:val="en-US"/>
        </w:rPr>
        <w:t>had</w:t>
      </w:r>
      <w:r w:rsidR="003B73AF">
        <w:rPr>
          <w:lang w:val="en-US"/>
        </w:rPr>
        <w:t xml:space="preserve"> not yet agreed on the </w:t>
      </w:r>
      <w:r w:rsidR="006242C9">
        <w:rPr>
          <w:lang w:val="en-US"/>
        </w:rPr>
        <w:t xml:space="preserve">sub-band filter’s </w:t>
      </w:r>
      <w:r w:rsidR="003B73AF">
        <w:rPr>
          <w:lang w:val="en-US"/>
        </w:rPr>
        <w:t xml:space="preserve">feasibility. </w:t>
      </w:r>
      <w:r w:rsidR="00286282">
        <w:rPr>
          <w:lang w:val="en-US"/>
        </w:rPr>
        <w:t xml:space="preserve"> </w:t>
      </w:r>
    </w:p>
    <w:p w14:paraId="32879936" w14:textId="7B7AC520" w:rsidR="00CC5528" w:rsidRDefault="00CC5528" w:rsidP="00CC5528">
      <w:pPr>
        <w:pStyle w:val="Heading2"/>
        <w:rPr>
          <w:lang w:val="en-US"/>
        </w:rPr>
      </w:pPr>
      <w:r>
        <w:rPr>
          <w:lang w:val="en-US"/>
        </w:rPr>
        <w:t>3.1 Case 1</w:t>
      </w:r>
      <w:r w:rsidR="00CE7591">
        <w:rPr>
          <w:lang w:val="en-US"/>
        </w:rPr>
        <w:t xml:space="preserve"> </w:t>
      </w:r>
      <w:r w:rsidR="00505A9B">
        <w:rPr>
          <w:lang w:val="en-US"/>
        </w:rPr>
        <w:t>–</w:t>
      </w:r>
      <w:r w:rsidR="00CE7591">
        <w:rPr>
          <w:lang w:val="en-US"/>
        </w:rPr>
        <w:t xml:space="preserve"> TDD DL as victim</w:t>
      </w:r>
    </w:p>
    <w:p w14:paraId="0272800D" w14:textId="385947AA" w:rsidR="001978A1" w:rsidRPr="001978A1" w:rsidRDefault="001978A1" w:rsidP="00EF7212">
      <w:pPr>
        <w:rPr>
          <w:lang w:val="en-US"/>
        </w:rPr>
      </w:pPr>
      <w:r>
        <w:rPr>
          <w:lang w:val="en-US"/>
        </w:rPr>
        <w:t xml:space="preserve">The first set of results analyze the coexistence for the Case 1. We evaluate here the performance degradation of </w:t>
      </w:r>
      <w:r w:rsidR="00242A99">
        <w:rPr>
          <w:lang w:val="en-US"/>
        </w:rPr>
        <w:t>a network using TDD DL while the aggressor network uses either TDD DL or SBFD.</w:t>
      </w:r>
      <w:r w:rsidR="00E4087F">
        <w:rPr>
          <w:lang w:val="en-US"/>
        </w:rPr>
        <w:t xml:space="preserve"> </w:t>
      </w:r>
    </w:p>
    <w:p w14:paraId="768DEDCD" w14:textId="7AB943B5" w:rsidR="00CC5528" w:rsidRDefault="00CC5528">
      <w:pPr>
        <w:pStyle w:val="Heading4"/>
        <w:rPr>
          <w:lang w:val="en-US"/>
        </w:rPr>
      </w:pPr>
      <w:r w:rsidRPr="00B334F7">
        <w:rPr>
          <w:lang w:val="en-US"/>
        </w:rPr>
        <w:t xml:space="preserve">3.1.1 </w:t>
      </w:r>
      <w:r w:rsidR="00C02CEA" w:rsidRPr="00B334F7">
        <w:rPr>
          <w:lang w:val="en-US"/>
        </w:rPr>
        <w:t xml:space="preserve">Scenario 1: </w:t>
      </w:r>
      <w:r w:rsidR="009E2979" w:rsidRPr="00B334F7">
        <w:rPr>
          <w:lang w:val="en-US"/>
        </w:rPr>
        <w:t xml:space="preserve">FR1 </w:t>
      </w:r>
      <w:r w:rsidRPr="00B334F7">
        <w:rPr>
          <w:lang w:val="en-US"/>
        </w:rPr>
        <w:t xml:space="preserve">Urban </w:t>
      </w:r>
      <w:r w:rsidR="004D0D2F" w:rsidRPr="00B334F7">
        <w:rPr>
          <w:lang w:val="en-US"/>
        </w:rPr>
        <w:t>M</w:t>
      </w:r>
      <w:r w:rsidRPr="00B334F7">
        <w:rPr>
          <w:lang w:val="en-US"/>
        </w:rPr>
        <w:t>acro</w:t>
      </w:r>
    </w:p>
    <w:p w14:paraId="5F773935" w14:textId="3F0DFA23" w:rsidR="002513C8" w:rsidRDefault="00D8069A" w:rsidP="009B5D25">
      <w:r w:rsidRPr="005B4A37">
        <w:rPr>
          <w:lang w:val="en-US"/>
        </w:rPr>
        <w:fldChar w:fldCharType="begin"/>
      </w:r>
      <w:r w:rsidRPr="005B4A37">
        <w:rPr>
          <w:lang w:val="en-US"/>
        </w:rPr>
        <w:instrText xml:space="preserve"> REF _Ref142640881 \h </w:instrText>
      </w:r>
      <w:r w:rsidR="005B4A37">
        <w:rPr>
          <w:lang w:val="en-US"/>
        </w:rPr>
        <w:instrText xml:space="preserve"> \* MERGEFORMAT </w:instrText>
      </w:r>
      <w:r w:rsidRPr="005B4A37">
        <w:rPr>
          <w:lang w:val="en-US"/>
        </w:rPr>
      </w:r>
      <w:r w:rsidRPr="005B4A37">
        <w:rPr>
          <w:lang w:val="en-US"/>
        </w:rPr>
        <w:fldChar w:fldCharType="separate"/>
      </w:r>
      <w:r w:rsidR="004D336C">
        <w:t xml:space="preserve">Figure </w:t>
      </w:r>
      <w:r w:rsidR="004D336C">
        <w:rPr>
          <w:noProof/>
        </w:rPr>
        <w:t>1</w:t>
      </w:r>
      <w:r w:rsidRPr="005B4A37">
        <w:rPr>
          <w:lang w:val="en-US"/>
        </w:rPr>
        <w:fldChar w:fldCharType="end"/>
      </w:r>
      <w:r w:rsidRPr="005B4A37">
        <w:rPr>
          <w:lang w:val="en-US"/>
        </w:rPr>
        <w:t xml:space="preserve"> shows the </w:t>
      </w:r>
      <w:r w:rsidR="009703BE">
        <w:rPr>
          <w:lang w:val="en-US"/>
        </w:rPr>
        <w:t xml:space="preserve">victim </w:t>
      </w:r>
      <w:r w:rsidRPr="005B4A37">
        <w:rPr>
          <w:lang w:val="en-US"/>
        </w:rPr>
        <w:t>DL SINR at 5</w:t>
      </w:r>
      <w:r w:rsidRPr="00EF7212">
        <w:rPr>
          <w:vertAlign w:val="superscript"/>
          <w:lang w:val="en-US"/>
        </w:rPr>
        <w:t>th</w:t>
      </w:r>
      <w:r w:rsidRPr="005B4A37">
        <w:rPr>
          <w:lang w:val="en-US"/>
        </w:rPr>
        <w:t xml:space="preserve"> and 50</w:t>
      </w:r>
      <w:r w:rsidRPr="00EF7212">
        <w:rPr>
          <w:vertAlign w:val="superscript"/>
          <w:lang w:val="en-US"/>
        </w:rPr>
        <w:t>th</w:t>
      </w:r>
      <w:r w:rsidRPr="005B4A37">
        <w:rPr>
          <w:lang w:val="en-US"/>
        </w:rPr>
        <w:t xml:space="preserve"> percentiles </w:t>
      </w:r>
      <w:r w:rsidR="009703BE">
        <w:rPr>
          <w:lang w:val="en-US"/>
        </w:rPr>
        <w:t>and the victim DL throughput at 5</w:t>
      </w:r>
      <w:r w:rsidR="009703BE" w:rsidRPr="009703BE">
        <w:rPr>
          <w:vertAlign w:val="superscript"/>
          <w:lang w:val="en-US"/>
        </w:rPr>
        <w:t>th</w:t>
      </w:r>
      <w:r w:rsidR="009703BE">
        <w:rPr>
          <w:lang w:val="en-US"/>
        </w:rPr>
        <w:t xml:space="preserve"> percentile and average</w:t>
      </w:r>
      <w:r w:rsidR="00822FA7">
        <w:rPr>
          <w:lang w:val="en-US"/>
        </w:rPr>
        <w:t xml:space="preserve">. The </w:t>
      </w:r>
      <w:r w:rsidR="001E1CDC">
        <w:rPr>
          <w:lang w:val="en-US"/>
        </w:rPr>
        <w:t>figure includes</w:t>
      </w:r>
      <w:r w:rsidR="00852B53" w:rsidRPr="005B4A37">
        <w:rPr>
          <w:lang w:val="en-US"/>
        </w:rPr>
        <w:t xml:space="preserve"> cases </w:t>
      </w:r>
      <w:r w:rsidR="00442BDF">
        <w:rPr>
          <w:lang w:val="en-US"/>
        </w:rPr>
        <w:t>with</w:t>
      </w:r>
      <w:r w:rsidR="00442BDF" w:rsidRPr="005B4A37">
        <w:rPr>
          <w:lang w:val="en-US"/>
        </w:rPr>
        <w:t xml:space="preserve"> </w:t>
      </w:r>
      <w:r w:rsidR="00852B53" w:rsidRPr="005B4A37">
        <w:rPr>
          <w:lang w:val="en-US"/>
        </w:rPr>
        <w:t xml:space="preserve">no </w:t>
      </w:r>
      <w:r w:rsidR="001E1CDC">
        <w:rPr>
          <w:lang w:val="en-US"/>
        </w:rPr>
        <w:t>adjacent channel interference (ACI)</w:t>
      </w:r>
      <w:r w:rsidR="00852B53" w:rsidRPr="005B4A37">
        <w:rPr>
          <w:lang w:val="en-US"/>
        </w:rPr>
        <w:t xml:space="preserve">, and when </w:t>
      </w:r>
      <w:r w:rsidR="004413DE" w:rsidRPr="005B4A37">
        <w:rPr>
          <w:lang w:val="en-US"/>
        </w:rPr>
        <w:t>ACI is generated by TDD DL or SBFD</w:t>
      </w:r>
      <w:r w:rsidR="001E1CDC">
        <w:rPr>
          <w:lang w:val="en-US"/>
        </w:rPr>
        <w:t xml:space="preserve">. </w:t>
      </w:r>
      <w:r w:rsidR="00363319" w:rsidRPr="005B4A37">
        <w:rPr>
          <w:lang w:val="en-US"/>
        </w:rPr>
        <w:t>We observe there that,</w:t>
      </w:r>
      <w:r w:rsidR="003B6DC0" w:rsidRPr="005B4A37">
        <w:rPr>
          <w:lang w:val="en-US"/>
        </w:rPr>
        <w:t xml:space="preserve"> as expected,</w:t>
      </w:r>
      <w:r w:rsidR="00363319" w:rsidRPr="005B4A37">
        <w:rPr>
          <w:lang w:val="en-US"/>
        </w:rPr>
        <w:t xml:space="preserve"> </w:t>
      </w:r>
      <w:r w:rsidR="00D252B0" w:rsidRPr="005B4A37">
        <w:rPr>
          <w:lang w:val="en-US"/>
        </w:rPr>
        <w:t>not having any aggressor technology at the adjacent channel provides the highest performance.</w:t>
      </w:r>
      <w:r w:rsidR="00BD1CD2">
        <w:rPr>
          <w:lang w:val="en-US"/>
        </w:rPr>
        <w:t xml:space="preserve"> About whether TDD</w:t>
      </w:r>
      <w:r w:rsidR="00D45D64">
        <w:rPr>
          <w:lang w:val="en-US"/>
        </w:rPr>
        <w:t xml:space="preserve"> DL</w:t>
      </w:r>
      <w:r w:rsidR="00BD1CD2">
        <w:rPr>
          <w:lang w:val="en-US"/>
        </w:rPr>
        <w:t xml:space="preserve"> or SBFD </w:t>
      </w:r>
      <w:r w:rsidR="00D45D64">
        <w:rPr>
          <w:lang w:val="en-US"/>
        </w:rPr>
        <w:t>coexists better with TDD DL, we can obse</w:t>
      </w:r>
      <w:r w:rsidR="00B97336">
        <w:rPr>
          <w:lang w:val="en-US"/>
        </w:rPr>
        <w:t xml:space="preserve">rve that there are no big differences between the 2 technologies. </w:t>
      </w:r>
      <w:r w:rsidR="002513C8">
        <w:t>In fact, we observed that for certain percentiles of the SINR, SBFD as aggressor showed slightly higher SINR values at the victim than when TDD DL is the aggressor. The reason for this is the assumption on the constant power spectral density which implies that the transmit power for the SBFD gNB is the order of 1 dB lower. Moreover, since the U</w:t>
      </w:r>
      <w:r w:rsidR="002603A2">
        <w:t>E</w:t>
      </w:r>
      <w:r w:rsidR="002513C8">
        <w:t>s are uniformly distributed in the scenario, the potential effect of UE-to-UE ACI (only present if SBFD is the aggressor) is not seen at all.</w:t>
      </w:r>
      <w:r w:rsidR="0043241E">
        <w:t xml:space="preserve"> </w:t>
      </w:r>
      <w:r w:rsidR="004760B0">
        <w:t xml:space="preserve">On the impact of the SBFD antenna size on the coexistence, we can conclude that it </w:t>
      </w:r>
      <w:r w:rsidR="00415A84">
        <w:t>does</w:t>
      </w:r>
      <w:r w:rsidR="004760B0">
        <w:t xml:space="preserve"> not affect drastically</w:t>
      </w:r>
      <w:r w:rsidR="0035568C">
        <w:t xml:space="preserve"> for this scenario</w:t>
      </w:r>
      <w:r w:rsidR="004760B0">
        <w:t xml:space="preserve">. The reason is that even though there is a difference in </w:t>
      </w:r>
      <w:r w:rsidR="00F903F6">
        <w:t xml:space="preserve">the </w:t>
      </w:r>
      <w:r w:rsidR="00261594">
        <w:t>base stations transmit power of 3 dB, we should also consider that the coupling loss between victim and aggressor gNB is</w:t>
      </w:r>
      <w:r w:rsidR="0093400D">
        <w:t xml:space="preserve"> larger as well. The reason for </w:t>
      </w:r>
      <w:r w:rsidR="0064080F">
        <w:t xml:space="preserve">this is the higher number of antenna </w:t>
      </w:r>
      <w:r w:rsidR="002B3BFC">
        <w:t>elements</w:t>
      </w:r>
      <w:r w:rsidR="0064080F">
        <w:t xml:space="preserve"> when </w:t>
      </w:r>
      <w:r w:rsidR="00F720BA">
        <w:t xml:space="preserve">simulating </w:t>
      </w:r>
      <w:r w:rsidR="00751650">
        <w:t>antenna</w:t>
      </w:r>
      <w:r w:rsidR="00990F34">
        <w:t xml:space="preserve"> configuration 2</w:t>
      </w:r>
      <w:r w:rsidR="005D68F2">
        <w:t xml:space="preserve">, </w:t>
      </w:r>
      <w:r w:rsidR="00990F34">
        <w:t>which</w:t>
      </w:r>
      <w:r w:rsidR="00F720BA">
        <w:t xml:space="preserve"> impacts the beamforming </w:t>
      </w:r>
      <w:r w:rsidR="002B3BFC">
        <w:t>gain.</w:t>
      </w:r>
    </w:p>
    <w:p w14:paraId="07200F85" w14:textId="2AE0A815" w:rsidR="00FA50F0" w:rsidRDefault="00A00AAE" w:rsidP="00B334F7">
      <w:pPr>
        <w:jc w:val="center"/>
      </w:pPr>
      <w:r w:rsidRPr="00A00AAE">
        <w:rPr>
          <w:noProof/>
          <w:lang w:val="en-US"/>
        </w:rPr>
        <w:drawing>
          <wp:inline distT="0" distB="0" distL="0" distR="0" wp14:anchorId="26698B29" wp14:editId="6AF083D2">
            <wp:extent cx="4300648" cy="3325180"/>
            <wp:effectExtent l="0" t="0" r="508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rotWithShape="1">
                    <a:blip r:embed="rId13">
                      <a:extLst>
                        <a:ext uri="{28A0092B-C50C-407E-A947-70E740481C1C}">
                          <a14:useLocalDpi xmlns:a14="http://schemas.microsoft.com/office/drawing/2010/main" val="0"/>
                        </a:ext>
                      </a:extLst>
                    </a:blip>
                    <a:srcRect l="7896" t="2063" r="8246" b="4777"/>
                    <a:stretch/>
                  </pic:blipFill>
                  <pic:spPr bwMode="auto">
                    <a:xfrm>
                      <a:off x="0" y="0"/>
                      <a:ext cx="4309620" cy="3332117"/>
                    </a:xfrm>
                    <a:prstGeom prst="rect">
                      <a:avLst/>
                    </a:prstGeom>
                    <a:noFill/>
                    <a:ln>
                      <a:noFill/>
                    </a:ln>
                    <a:extLst>
                      <a:ext uri="{53640926-AAD7-44D8-BBD7-CCE9431645EC}">
                        <a14:shadowObscured xmlns:a14="http://schemas.microsoft.com/office/drawing/2010/main"/>
                      </a:ext>
                    </a:extLst>
                  </pic:spPr>
                </pic:pic>
              </a:graphicData>
            </a:graphic>
          </wp:inline>
        </w:drawing>
      </w:r>
    </w:p>
    <w:p w14:paraId="6B48D898" w14:textId="079CEDFF" w:rsidR="00001B23" w:rsidRDefault="001609E2" w:rsidP="00A80D94">
      <w:pPr>
        <w:pStyle w:val="Caption"/>
        <w:jc w:val="center"/>
      </w:pPr>
      <w:bookmarkStart w:id="3" w:name="_Ref142640881"/>
      <w:r>
        <w:t xml:space="preserve">Figure </w:t>
      </w:r>
      <w:r>
        <w:fldChar w:fldCharType="begin"/>
      </w:r>
      <w:r>
        <w:instrText xml:space="preserve"> SEQ Figure \* ARABIC </w:instrText>
      </w:r>
      <w:r>
        <w:fldChar w:fldCharType="separate"/>
      </w:r>
      <w:r w:rsidR="004D336C">
        <w:rPr>
          <w:noProof/>
        </w:rPr>
        <w:t>1</w:t>
      </w:r>
      <w:r>
        <w:fldChar w:fldCharType="end"/>
      </w:r>
      <w:bookmarkEnd w:id="3"/>
      <w:r>
        <w:t>.</w:t>
      </w:r>
      <w:r w:rsidR="00B91031">
        <w:t xml:space="preserve"> </w:t>
      </w:r>
      <w:r w:rsidR="00592718">
        <w:t xml:space="preserve">Comparison of </w:t>
      </w:r>
      <w:r w:rsidR="00B91031">
        <w:t xml:space="preserve">DL SINR </w:t>
      </w:r>
      <w:r w:rsidR="00722C43">
        <w:t xml:space="preserve">and DL throughput </w:t>
      </w:r>
      <w:r w:rsidR="00B91031">
        <w:t xml:space="preserve">for Case 1 Urban </w:t>
      </w:r>
      <w:r w:rsidR="00592718">
        <w:t>M</w:t>
      </w:r>
      <w:r w:rsidR="00B91031">
        <w:t>acro scenario</w:t>
      </w:r>
    </w:p>
    <w:p w14:paraId="203C812D" w14:textId="77777777" w:rsidR="002603A2" w:rsidRDefault="002603A2" w:rsidP="002603A2"/>
    <w:p w14:paraId="0B2510CC" w14:textId="4723A541" w:rsidR="00322B57" w:rsidRDefault="004E3694" w:rsidP="00D93C63">
      <w:r>
        <w:fldChar w:fldCharType="begin"/>
      </w:r>
      <w:r>
        <w:instrText xml:space="preserve"> REF _Ref146538980 \h </w:instrText>
      </w:r>
      <w:r>
        <w:fldChar w:fldCharType="separate"/>
      </w:r>
      <w:r w:rsidR="004D336C">
        <w:t xml:space="preserve">Table </w:t>
      </w:r>
      <w:r w:rsidR="004D336C">
        <w:rPr>
          <w:noProof/>
        </w:rPr>
        <w:t>1</w:t>
      </w:r>
      <w:r>
        <w:fldChar w:fldCharType="end"/>
      </w:r>
      <w:r w:rsidR="00545079">
        <w:fldChar w:fldCharType="begin"/>
      </w:r>
      <w:r w:rsidR="00545079">
        <w:instrText xml:space="preserve"> REF _Ref146268840 \h </w:instrText>
      </w:r>
      <w:r w:rsidR="00545079">
        <w:fldChar w:fldCharType="end"/>
      </w:r>
      <w:r w:rsidR="00545079">
        <w:t xml:space="preserve"> </w:t>
      </w:r>
      <w:r w:rsidR="00E4157D">
        <w:t xml:space="preserve">shows the SINR and throughput </w:t>
      </w:r>
      <w:r w:rsidR="00BA05CD">
        <w:t>degradation</w:t>
      </w:r>
      <w:r w:rsidR="00E4157D">
        <w:t xml:space="preserve"> in dB and </w:t>
      </w:r>
      <w:r w:rsidR="00BA05CD">
        <w:t>percentage</w:t>
      </w:r>
      <w:r w:rsidR="00E4157D">
        <w:t>, respectively</w:t>
      </w:r>
      <w:r w:rsidR="009A2B9C">
        <w:t xml:space="preserve">. The throughput degradation values above 5% are highlighted </w:t>
      </w:r>
      <w:r w:rsidR="00583736">
        <w:t>with</w:t>
      </w:r>
      <w:r w:rsidR="009A2B9C">
        <w:t xml:space="preserve"> red to show the cases where the performance is not acceptable.</w:t>
      </w:r>
      <w:r w:rsidR="00545079">
        <w:t xml:space="preserve"> </w:t>
      </w:r>
      <w:r w:rsidR="00247F60">
        <w:t xml:space="preserve">Differently from the figure above, the table also shows the 10% grid </w:t>
      </w:r>
      <w:r w:rsidR="008636EA">
        <w:t>offset</w:t>
      </w:r>
      <w:r w:rsidR="00247F60">
        <w:t xml:space="preserve"> case. The effect of the </w:t>
      </w:r>
      <w:r w:rsidR="008636EA">
        <w:t xml:space="preserve">grid offset is minimal </w:t>
      </w:r>
      <w:r w:rsidR="00030D33">
        <w:t>for</w:t>
      </w:r>
      <w:r w:rsidR="008636EA">
        <w:t xml:space="preserve"> Case 1</w:t>
      </w:r>
      <w:r w:rsidR="00266349">
        <w:t xml:space="preserve">, showing less than 1% </w:t>
      </w:r>
      <w:r w:rsidR="0018370A">
        <w:t xml:space="preserve">average </w:t>
      </w:r>
      <w:r w:rsidR="00C90A9B">
        <w:t>throughput degradation difference</w:t>
      </w:r>
      <w:r w:rsidR="00CD5E7A">
        <w:t xml:space="preserve">. </w:t>
      </w:r>
    </w:p>
    <w:p w14:paraId="077AB357" w14:textId="132EF7EC" w:rsidR="00D2234B" w:rsidRDefault="00D2234B" w:rsidP="00B334F7">
      <w:pPr>
        <w:pStyle w:val="Caption"/>
        <w:keepNext/>
      </w:pPr>
      <w:bookmarkStart w:id="4" w:name="_Ref146538980"/>
      <w:r>
        <w:t xml:space="preserve">Table </w:t>
      </w:r>
      <w:r>
        <w:fldChar w:fldCharType="begin"/>
      </w:r>
      <w:r>
        <w:instrText xml:space="preserve"> SEQ Table \* ARABIC </w:instrText>
      </w:r>
      <w:r>
        <w:fldChar w:fldCharType="separate"/>
      </w:r>
      <w:r w:rsidR="004D336C">
        <w:rPr>
          <w:noProof/>
        </w:rPr>
        <w:t>1</w:t>
      </w:r>
      <w:r>
        <w:fldChar w:fldCharType="end"/>
      </w:r>
      <w:bookmarkEnd w:id="4"/>
      <w:r w:rsidR="00E758B9">
        <w:t>. Performance summary for Case 1 Urban Macro scenario</w:t>
      </w:r>
    </w:p>
    <w:tbl>
      <w:tblPr>
        <w:tblW w:w="10006" w:type="dxa"/>
        <w:tblLook w:val="04A0" w:firstRow="1" w:lastRow="0" w:firstColumn="1" w:lastColumn="0" w:noHBand="0" w:noVBand="1"/>
      </w:tblPr>
      <w:tblGrid>
        <w:gridCol w:w="873"/>
        <w:gridCol w:w="910"/>
        <w:gridCol w:w="883"/>
        <w:gridCol w:w="1141"/>
        <w:gridCol w:w="883"/>
        <w:gridCol w:w="878"/>
        <w:gridCol w:w="910"/>
        <w:gridCol w:w="883"/>
        <w:gridCol w:w="879"/>
        <w:gridCol w:w="884"/>
        <w:gridCol w:w="882"/>
      </w:tblGrid>
      <w:tr w:rsidR="004A618E" w:rsidRPr="004A618E" w14:paraId="5A804AA7" w14:textId="77777777" w:rsidTr="00B334F7">
        <w:trPr>
          <w:trHeight w:val="313"/>
        </w:trPr>
        <w:tc>
          <w:tcPr>
            <w:tcW w:w="1000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14:paraId="0EEAA31D"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1: FR1 Urban Macro</w:t>
            </w:r>
            <w:r w:rsidRPr="00B334F7">
              <w:rPr>
                <w:rFonts w:ascii="Times New Roman" w:eastAsia="Times New Roman" w:hAnsi="Times New Roman" w:cs="Times New Roman"/>
                <w:b/>
                <w:bCs/>
                <w:sz w:val="16"/>
                <w:szCs w:val="16"/>
                <w:lang w:val="en-US"/>
              </w:rPr>
              <w:br/>
              <w:t>Case 1: TDD DL as victim</w:t>
            </w:r>
          </w:p>
        </w:tc>
      </w:tr>
      <w:tr w:rsidR="004A618E" w:rsidRPr="004A618E" w14:paraId="08B1EB11" w14:textId="77777777" w:rsidTr="004A618E">
        <w:trPr>
          <w:trHeight w:val="298"/>
        </w:trPr>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06BCCE93"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lastRenderedPageBreak/>
              <w:t>Grid offset</w:t>
            </w:r>
          </w:p>
        </w:tc>
        <w:tc>
          <w:tcPr>
            <w:tcW w:w="908" w:type="dxa"/>
            <w:vMerge w:val="restart"/>
            <w:tcBorders>
              <w:top w:val="nil"/>
              <w:left w:val="single" w:sz="4" w:space="0" w:color="auto"/>
              <w:bottom w:val="single" w:sz="4" w:space="0" w:color="000000"/>
              <w:right w:val="single" w:sz="4" w:space="0" w:color="auto"/>
            </w:tcBorders>
            <w:shd w:val="clear" w:color="auto" w:fill="auto"/>
            <w:vAlign w:val="center"/>
            <w:hideMark/>
          </w:tcPr>
          <w:p w14:paraId="144D9214"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87" w:type="dxa"/>
            <w:vMerge w:val="restart"/>
            <w:tcBorders>
              <w:top w:val="nil"/>
              <w:left w:val="single" w:sz="4" w:space="0" w:color="auto"/>
              <w:bottom w:val="single" w:sz="4" w:space="0" w:color="000000"/>
              <w:right w:val="single" w:sz="4" w:space="0" w:color="auto"/>
            </w:tcBorders>
            <w:shd w:val="clear" w:color="auto" w:fill="auto"/>
            <w:vAlign w:val="center"/>
            <w:hideMark/>
          </w:tcPr>
          <w:p w14:paraId="7EE9D756"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27" w:type="dxa"/>
            <w:vMerge w:val="restart"/>
            <w:tcBorders>
              <w:top w:val="nil"/>
              <w:left w:val="single" w:sz="4" w:space="0" w:color="auto"/>
              <w:bottom w:val="single" w:sz="4" w:space="0" w:color="000000"/>
              <w:right w:val="single" w:sz="4" w:space="0" w:color="auto"/>
            </w:tcBorders>
            <w:shd w:val="clear" w:color="auto" w:fill="auto"/>
            <w:vAlign w:val="center"/>
            <w:hideMark/>
          </w:tcPr>
          <w:p w14:paraId="6BF708C8"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87" w:type="dxa"/>
            <w:vMerge w:val="restart"/>
            <w:tcBorders>
              <w:top w:val="nil"/>
              <w:left w:val="single" w:sz="4" w:space="0" w:color="auto"/>
              <w:bottom w:val="single" w:sz="4" w:space="0" w:color="000000"/>
              <w:right w:val="single" w:sz="4" w:space="0" w:color="auto"/>
            </w:tcBorders>
            <w:shd w:val="clear" w:color="auto" w:fill="auto"/>
            <w:vAlign w:val="center"/>
            <w:hideMark/>
          </w:tcPr>
          <w:p w14:paraId="7F18DB4F"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83" w:type="dxa"/>
            <w:vMerge w:val="restart"/>
            <w:tcBorders>
              <w:top w:val="nil"/>
              <w:left w:val="single" w:sz="4" w:space="0" w:color="auto"/>
              <w:bottom w:val="single" w:sz="4" w:space="0" w:color="000000"/>
              <w:right w:val="single" w:sz="4" w:space="0" w:color="auto"/>
            </w:tcBorders>
            <w:shd w:val="clear" w:color="auto" w:fill="auto"/>
            <w:vAlign w:val="center"/>
            <w:hideMark/>
          </w:tcPr>
          <w:p w14:paraId="77A2733C"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08" w:type="dxa"/>
            <w:vMerge w:val="restart"/>
            <w:tcBorders>
              <w:top w:val="nil"/>
              <w:left w:val="single" w:sz="4" w:space="0" w:color="auto"/>
              <w:bottom w:val="single" w:sz="4" w:space="0" w:color="000000"/>
              <w:right w:val="single" w:sz="4" w:space="0" w:color="auto"/>
            </w:tcBorders>
            <w:shd w:val="clear" w:color="auto" w:fill="auto"/>
            <w:vAlign w:val="center"/>
            <w:hideMark/>
          </w:tcPr>
          <w:p w14:paraId="2E2BC9A5"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1762"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0E39ABA"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763"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6B3BEF8"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4A618E" w:rsidRPr="004A618E" w14:paraId="73329B11" w14:textId="77777777" w:rsidTr="00B334F7">
        <w:trPr>
          <w:trHeight w:val="298"/>
        </w:trPr>
        <w:tc>
          <w:tcPr>
            <w:tcW w:w="878" w:type="dxa"/>
            <w:vMerge/>
            <w:tcBorders>
              <w:top w:val="nil"/>
              <w:left w:val="single" w:sz="4" w:space="0" w:color="auto"/>
              <w:bottom w:val="single" w:sz="4" w:space="0" w:color="000000"/>
              <w:right w:val="single" w:sz="4" w:space="0" w:color="auto"/>
            </w:tcBorders>
            <w:vAlign w:val="center"/>
            <w:hideMark/>
          </w:tcPr>
          <w:p w14:paraId="2C939CC8"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8" w:type="dxa"/>
            <w:vMerge/>
            <w:tcBorders>
              <w:top w:val="nil"/>
              <w:left w:val="single" w:sz="4" w:space="0" w:color="auto"/>
              <w:bottom w:val="single" w:sz="4" w:space="0" w:color="000000"/>
              <w:right w:val="single" w:sz="4" w:space="0" w:color="auto"/>
            </w:tcBorders>
            <w:vAlign w:val="center"/>
            <w:hideMark/>
          </w:tcPr>
          <w:p w14:paraId="35F26193"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7" w:type="dxa"/>
            <w:vMerge/>
            <w:tcBorders>
              <w:top w:val="nil"/>
              <w:left w:val="single" w:sz="4" w:space="0" w:color="auto"/>
              <w:bottom w:val="single" w:sz="4" w:space="0" w:color="000000"/>
              <w:right w:val="single" w:sz="4" w:space="0" w:color="auto"/>
            </w:tcBorders>
            <w:vAlign w:val="center"/>
            <w:hideMark/>
          </w:tcPr>
          <w:p w14:paraId="2E9611BB"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27" w:type="dxa"/>
            <w:vMerge/>
            <w:tcBorders>
              <w:top w:val="nil"/>
              <w:left w:val="single" w:sz="4" w:space="0" w:color="auto"/>
              <w:bottom w:val="single" w:sz="4" w:space="0" w:color="000000"/>
              <w:right w:val="single" w:sz="4" w:space="0" w:color="auto"/>
            </w:tcBorders>
            <w:vAlign w:val="center"/>
            <w:hideMark/>
          </w:tcPr>
          <w:p w14:paraId="4E32F7CB"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7" w:type="dxa"/>
            <w:vMerge/>
            <w:tcBorders>
              <w:top w:val="nil"/>
              <w:left w:val="single" w:sz="4" w:space="0" w:color="auto"/>
              <w:bottom w:val="single" w:sz="4" w:space="0" w:color="000000"/>
              <w:right w:val="single" w:sz="4" w:space="0" w:color="auto"/>
            </w:tcBorders>
            <w:vAlign w:val="center"/>
            <w:hideMark/>
          </w:tcPr>
          <w:p w14:paraId="1458FDD1"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3" w:type="dxa"/>
            <w:vMerge/>
            <w:tcBorders>
              <w:top w:val="nil"/>
              <w:left w:val="single" w:sz="4" w:space="0" w:color="auto"/>
              <w:bottom w:val="single" w:sz="4" w:space="0" w:color="000000"/>
              <w:right w:val="single" w:sz="4" w:space="0" w:color="auto"/>
            </w:tcBorders>
            <w:vAlign w:val="center"/>
            <w:hideMark/>
          </w:tcPr>
          <w:p w14:paraId="350DF0F3"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8" w:type="dxa"/>
            <w:vMerge/>
            <w:tcBorders>
              <w:top w:val="nil"/>
              <w:left w:val="single" w:sz="4" w:space="0" w:color="auto"/>
              <w:bottom w:val="single" w:sz="4" w:space="0" w:color="000000"/>
              <w:right w:val="single" w:sz="4" w:space="0" w:color="auto"/>
            </w:tcBorders>
            <w:vAlign w:val="center"/>
            <w:hideMark/>
          </w:tcPr>
          <w:p w14:paraId="72E172B1"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62" w:type="dxa"/>
            <w:gridSpan w:val="2"/>
            <w:vMerge/>
            <w:tcBorders>
              <w:top w:val="single" w:sz="4" w:space="0" w:color="auto"/>
              <w:left w:val="single" w:sz="4" w:space="0" w:color="auto"/>
              <w:bottom w:val="single" w:sz="4" w:space="0" w:color="000000"/>
              <w:right w:val="single" w:sz="4" w:space="0" w:color="000000"/>
            </w:tcBorders>
            <w:vAlign w:val="center"/>
            <w:hideMark/>
          </w:tcPr>
          <w:p w14:paraId="4DF9D707"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63" w:type="dxa"/>
            <w:gridSpan w:val="2"/>
            <w:vMerge/>
            <w:tcBorders>
              <w:top w:val="single" w:sz="4" w:space="0" w:color="auto"/>
              <w:left w:val="single" w:sz="4" w:space="0" w:color="auto"/>
              <w:bottom w:val="single" w:sz="4" w:space="0" w:color="000000"/>
              <w:right w:val="single" w:sz="4" w:space="0" w:color="000000"/>
            </w:tcBorders>
            <w:vAlign w:val="center"/>
            <w:hideMark/>
          </w:tcPr>
          <w:p w14:paraId="04BB0296"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E73956" w:rsidRPr="004A618E" w14:paraId="1BA296D3" w14:textId="77777777" w:rsidTr="004A618E">
        <w:trPr>
          <w:trHeight w:val="298"/>
        </w:trPr>
        <w:tc>
          <w:tcPr>
            <w:tcW w:w="878" w:type="dxa"/>
            <w:vMerge/>
            <w:tcBorders>
              <w:top w:val="nil"/>
              <w:left w:val="single" w:sz="4" w:space="0" w:color="auto"/>
              <w:bottom w:val="single" w:sz="4" w:space="0" w:color="000000"/>
              <w:right w:val="single" w:sz="4" w:space="0" w:color="auto"/>
            </w:tcBorders>
            <w:vAlign w:val="center"/>
            <w:hideMark/>
          </w:tcPr>
          <w:p w14:paraId="7773D5C1"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8" w:type="dxa"/>
            <w:vMerge/>
            <w:tcBorders>
              <w:top w:val="nil"/>
              <w:left w:val="single" w:sz="4" w:space="0" w:color="auto"/>
              <w:bottom w:val="single" w:sz="4" w:space="0" w:color="000000"/>
              <w:right w:val="single" w:sz="4" w:space="0" w:color="auto"/>
            </w:tcBorders>
            <w:vAlign w:val="center"/>
            <w:hideMark/>
          </w:tcPr>
          <w:p w14:paraId="31DC539C"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7" w:type="dxa"/>
            <w:vMerge/>
            <w:tcBorders>
              <w:top w:val="nil"/>
              <w:left w:val="single" w:sz="4" w:space="0" w:color="auto"/>
              <w:bottom w:val="single" w:sz="4" w:space="0" w:color="000000"/>
              <w:right w:val="single" w:sz="4" w:space="0" w:color="auto"/>
            </w:tcBorders>
            <w:vAlign w:val="center"/>
            <w:hideMark/>
          </w:tcPr>
          <w:p w14:paraId="6C80634F"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27" w:type="dxa"/>
            <w:vMerge/>
            <w:tcBorders>
              <w:top w:val="nil"/>
              <w:left w:val="single" w:sz="4" w:space="0" w:color="auto"/>
              <w:bottom w:val="single" w:sz="4" w:space="0" w:color="000000"/>
              <w:right w:val="single" w:sz="4" w:space="0" w:color="auto"/>
            </w:tcBorders>
            <w:vAlign w:val="center"/>
            <w:hideMark/>
          </w:tcPr>
          <w:p w14:paraId="146EAD29"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7" w:type="dxa"/>
            <w:vMerge/>
            <w:tcBorders>
              <w:top w:val="nil"/>
              <w:left w:val="single" w:sz="4" w:space="0" w:color="auto"/>
              <w:bottom w:val="single" w:sz="4" w:space="0" w:color="000000"/>
              <w:right w:val="single" w:sz="4" w:space="0" w:color="auto"/>
            </w:tcBorders>
            <w:vAlign w:val="center"/>
            <w:hideMark/>
          </w:tcPr>
          <w:p w14:paraId="74F5C141"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3" w:type="dxa"/>
            <w:vMerge/>
            <w:tcBorders>
              <w:top w:val="nil"/>
              <w:left w:val="single" w:sz="4" w:space="0" w:color="auto"/>
              <w:bottom w:val="single" w:sz="4" w:space="0" w:color="000000"/>
              <w:right w:val="single" w:sz="4" w:space="0" w:color="auto"/>
            </w:tcBorders>
            <w:vAlign w:val="center"/>
            <w:hideMark/>
          </w:tcPr>
          <w:p w14:paraId="1303BFC5"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8" w:type="dxa"/>
            <w:vMerge/>
            <w:tcBorders>
              <w:top w:val="nil"/>
              <w:left w:val="single" w:sz="4" w:space="0" w:color="auto"/>
              <w:bottom w:val="single" w:sz="4" w:space="0" w:color="000000"/>
              <w:right w:val="single" w:sz="4" w:space="0" w:color="auto"/>
            </w:tcBorders>
            <w:vAlign w:val="center"/>
            <w:hideMark/>
          </w:tcPr>
          <w:p w14:paraId="11E0A470" w14:textId="77777777" w:rsidR="004A618E" w:rsidRPr="00B334F7" w:rsidRDefault="004A618E" w:rsidP="004A618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3" w:type="dxa"/>
            <w:tcBorders>
              <w:top w:val="nil"/>
              <w:left w:val="nil"/>
              <w:bottom w:val="single" w:sz="4" w:space="0" w:color="auto"/>
              <w:right w:val="single" w:sz="4" w:space="0" w:color="auto"/>
            </w:tcBorders>
            <w:shd w:val="clear" w:color="auto" w:fill="auto"/>
            <w:vAlign w:val="center"/>
            <w:hideMark/>
          </w:tcPr>
          <w:p w14:paraId="7211152E"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79" w:type="dxa"/>
            <w:tcBorders>
              <w:top w:val="nil"/>
              <w:left w:val="nil"/>
              <w:bottom w:val="single" w:sz="4" w:space="0" w:color="auto"/>
              <w:right w:val="single" w:sz="4" w:space="0" w:color="auto"/>
            </w:tcBorders>
            <w:shd w:val="clear" w:color="auto" w:fill="auto"/>
            <w:vAlign w:val="center"/>
            <w:hideMark/>
          </w:tcPr>
          <w:p w14:paraId="14668445"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84" w:type="dxa"/>
            <w:tcBorders>
              <w:top w:val="nil"/>
              <w:left w:val="nil"/>
              <w:bottom w:val="single" w:sz="4" w:space="0" w:color="auto"/>
              <w:right w:val="single" w:sz="4" w:space="0" w:color="auto"/>
            </w:tcBorders>
            <w:shd w:val="clear" w:color="auto" w:fill="auto"/>
            <w:vAlign w:val="center"/>
            <w:hideMark/>
          </w:tcPr>
          <w:p w14:paraId="3BECF69A"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79" w:type="dxa"/>
            <w:tcBorders>
              <w:top w:val="nil"/>
              <w:left w:val="nil"/>
              <w:bottom w:val="single" w:sz="4" w:space="0" w:color="auto"/>
              <w:right w:val="single" w:sz="4" w:space="0" w:color="auto"/>
            </w:tcBorders>
            <w:shd w:val="clear" w:color="auto" w:fill="auto"/>
            <w:vAlign w:val="center"/>
            <w:hideMark/>
          </w:tcPr>
          <w:p w14:paraId="0CBD39E1" w14:textId="77777777" w:rsidR="004A618E" w:rsidRPr="00B334F7" w:rsidRDefault="004A618E" w:rsidP="004A618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A94381" w:rsidRPr="004A618E" w14:paraId="48385383" w14:textId="77777777" w:rsidTr="004A618E">
        <w:trPr>
          <w:trHeight w:val="298"/>
        </w:trPr>
        <w:tc>
          <w:tcPr>
            <w:tcW w:w="878" w:type="dxa"/>
            <w:tcBorders>
              <w:top w:val="nil"/>
              <w:left w:val="single" w:sz="4" w:space="0" w:color="auto"/>
              <w:bottom w:val="single" w:sz="4" w:space="0" w:color="auto"/>
              <w:right w:val="single" w:sz="4" w:space="0" w:color="auto"/>
            </w:tcBorders>
            <w:shd w:val="clear" w:color="auto" w:fill="auto"/>
            <w:vAlign w:val="center"/>
            <w:hideMark/>
          </w:tcPr>
          <w:p w14:paraId="4780DE11"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100%</w:t>
            </w:r>
          </w:p>
        </w:tc>
        <w:tc>
          <w:tcPr>
            <w:tcW w:w="908" w:type="dxa"/>
            <w:tcBorders>
              <w:top w:val="nil"/>
              <w:left w:val="single" w:sz="4" w:space="0" w:color="auto"/>
              <w:bottom w:val="single" w:sz="4" w:space="0" w:color="000000"/>
              <w:right w:val="single" w:sz="4" w:space="0" w:color="auto"/>
            </w:tcBorders>
            <w:shd w:val="clear" w:color="auto" w:fill="auto"/>
            <w:vAlign w:val="center"/>
            <w:hideMark/>
          </w:tcPr>
          <w:p w14:paraId="35D3FB9B"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TDD DL</w:t>
            </w:r>
          </w:p>
        </w:tc>
        <w:tc>
          <w:tcPr>
            <w:tcW w:w="887" w:type="dxa"/>
            <w:tcBorders>
              <w:top w:val="nil"/>
              <w:left w:val="single" w:sz="4" w:space="0" w:color="auto"/>
              <w:bottom w:val="single" w:sz="4" w:space="0" w:color="000000"/>
              <w:right w:val="single" w:sz="4" w:space="0" w:color="auto"/>
            </w:tcBorders>
            <w:shd w:val="clear" w:color="auto" w:fill="auto"/>
            <w:vAlign w:val="center"/>
            <w:hideMark/>
          </w:tcPr>
          <w:p w14:paraId="20684373"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TDD DL</w:t>
            </w:r>
          </w:p>
        </w:tc>
        <w:tc>
          <w:tcPr>
            <w:tcW w:w="1127" w:type="dxa"/>
            <w:tcBorders>
              <w:top w:val="nil"/>
              <w:left w:val="nil"/>
              <w:bottom w:val="single" w:sz="4" w:space="0" w:color="auto"/>
              <w:right w:val="single" w:sz="4" w:space="0" w:color="auto"/>
            </w:tcBorders>
            <w:shd w:val="clear" w:color="auto" w:fill="auto"/>
            <w:vAlign w:val="center"/>
            <w:hideMark/>
          </w:tcPr>
          <w:p w14:paraId="5AF059F5"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N/A</w:t>
            </w:r>
          </w:p>
        </w:tc>
        <w:tc>
          <w:tcPr>
            <w:tcW w:w="887" w:type="dxa"/>
            <w:tcBorders>
              <w:top w:val="nil"/>
              <w:left w:val="single" w:sz="4" w:space="0" w:color="auto"/>
              <w:bottom w:val="single" w:sz="4" w:space="0" w:color="000000"/>
              <w:right w:val="single" w:sz="4" w:space="0" w:color="auto"/>
            </w:tcBorders>
            <w:shd w:val="clear" w:color="auto" w:fill="auto"/>
            <w:vAlign w:val="center"/>
            <w:hideMark/>
          </w:tcPr>
          <w:p w14:paraId="51B7FB46"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Option 2: TDD: 53 dBm</w:t>
            </w:r>
          </w:p>
        </w:tc>
        <w:tc>
          <w:tcPr>
            <w:tcW w:w="883" w:type="dxa"/>
            <w:tcBorders>
              <w:top w:val="nil"/>
              <w:left w:val="single" w:sz="4" w:space="0" w:color="auto"/>
              <w:bottom w:val="single" w:sz="4" w:space="0" w:color="000000"/>
              <w:right w:val="single" w:sz="4" w:space="0" w:color="auto"/>
            </w:tcBorders>
            <w:shd w:val="clear" w:color="auto" w:fill="auto"/>
            <w:vAlign w:val="center"/>
            <w:hideMark/>
          </w:tcPr>
          <w:p w14:paraId="1A2F7C28"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N/A</w:t>
            </w:r>
          </w:p>
        </w:tc>
        <w:tc>
          <w:tcPr>
            <w:tcW w:w="908" w:type="dxa"/>
            <w:tcBorders>
              <w:top w:val="nil"/>
              <w:left w:val="single" w:sz="4" w:space="0" w:color="auto"/>
              <w:bottom w:val="single" w:sz="4" w:space="0" w:color="000000"/>
              <w:right w:val="single" w:sz="4" w:space="0" w:color="auto"/>
            </w:tcBorders>
            <w:shd w:val="clear" w:color="auto" w:fill="auto"/>
            <w:vAlign w:val="center"/>
            <w:hideMark/>
          </w:tcPr>
          <w:p w14:paraId="2ABAC833"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Option 2: TDD: 53 dBm</w:t>
            </w:r>
          </w:p>
        </w:tc>
        <w:tc>
          <w:tcPr>
            <w:tcW w:w="883" w:type="dxa"/>
            <w:tcBorders>
              <w:top w:val="nil"/>
              <w:left w:val="nil"/>
              <w:bottom w:val="single" w:sz="4" w:space="0" w:color="auto"/>
              <w:right w:val="single" w:sz="4" w:space="0" w:color="auto"/>
            </w:tcBorders>
            <w:shd w:val="clear" w:color="auto" w:fill="auto"/>
            <w:noWrap/>
            <w:vAlign w:val="center"/>
            <w:hideMark/>
          </w:tcPr>
          <w:p w14:paraId="5A9F12CF"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0.52</w:t>
            </w:r>
          </w:p>
        </w:tc>
        <w:tc>
          <w:tcPr>
            <w:tcW w:w="879" w:type="dxa"/>
            <w:tcBorders>
              <w:top w:val="nil"/>
              <w:left w:val="nil"/>
              <w:bottom w:val="single" w:sz="4" w:space="0" w:color="auto"/>
              <w:right w:val="single" w:sz="4" w:space="0" w:color="auto"/>
            </w:tcBorders>
            <w:shd w:val="clear" w:color="auto" w:fill="auto"/>
            <w:noWrap/>
            <w:vAlign w:val="center"/>
            <w:hideMark/>
          </w:tcPr>
          <w:p w14:paraId="23A17794"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0.49</w:t>
            </w:r>
          </w:p>
        </w:tc>
        <w:tc>
          <w:tcPr>
            <w:tcW w:w="88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4751D38"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5.48</w:t>
            </w:r>
          </w:p>
        </w:tc>
        <w:tc>
          <w:tcPr>
            <w:tcW w:w="879" w:type="dxa"/>
            <w:tcBorders>
              <w:top w:val="nil"/>
              <w:left w:val="nil"/>
              <w:bottom w:val="single" w:sz="4" w:space="0" w:color="auto"/>
              <w:right w:val="single" w:sz="4" w:space="0" w:color="auto"/>
            </w:tcBorders>
            <w:shd w:val="clear" w:color="auto" w:fill="auto"/>
            <w:noWrap/>
            <w:vAlign w:val="center"/>
            <w:hideMark/>
          </w:tcPr>
          <w:p w14:paraId="1BEEA684"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1.76</w:t>
            </w:r>
          </w:p>
        </w:tc>
      </w:tr>
      <w:tr w:rsidR="004A618E" w:rsidRPr="004A618E" w14:paraId="5F4CF9C1" w14:textId="77777777" w:rsidTr="00B334F7">
        <w:trPr>
          <w:trHeight w:val="298"/>
        </w:trPr>
        <w:tc>
          <w:tcPr>
            <w:tcW w:w="878" w:type="dxa"/>
            <w:tcBorders>
              <w:top w:val="nil"/>
              <w:left w:val="single" w:sz="4" w:space="0" w:color="auto"/>
              <w:bottom w:val="single" w:sz="4" w:space="0" w:color="auto"/>
              <w:right w:val="single" w:sz="4" w:space="0" w:color="auto"/>
            </w:tcBorders>
            <w:shd w:val="clear" w:color="auto" w:fill="auto"/>
            <w:vAlign w:val="center"/>
            <w:hideMark/>
          </w:tcPr>
          <w:p w14:paraId="2F383F1D"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10%</w:t>
            </w:r>
          </w:p>
        </w:tc>
        <w:tc>
          <w:tcPr>
            <w:tcW w:w="908" w:type="dxa"/>
            <w:tcBorders>
              <w:top w:val="nil"/>
              <w:left w:val="single" w:sz="4" w:space="0" w:color="auto"/>
              <w:bottom w:val="single" w:sz="4" w:space="0" w:color="000000"/>
              <w:right w:val="single" w:sz="4" w:space="0" w:color="auto"/>
            </w:tcBorders>
            <w:vAlign w:val="center"/>
            <w:hideMark/>
          </w:tcPr>
          <w:p w14:paraId="1BDA0830"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single" w:sz="4" w:space="0" w:color="auto"/>
              <w:bottom w:val="single" w:sz="4" w:space="0" w:color="000000"/>
              <w:right w:val="single" w:sz="4" w:space="0" w:color="auto"/>
            </w:tcBorders>
            <w:vAlign w:val="center"/>
            <w:hideMark/>
          </w:tcPr>
          <w:p w14:paraId="1678EC50"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7" w:type="dxa"/>
            <w:tcBorders>
              <w:top w:val="nil"/>
              <w:left w:val="nil"/>
              <w:bottom w:val="single" w:sz="4" w:space="0" w:color="auto"/>
              <w:right w:val="single" w:sz="4" w:space="0" w:color="auto"/>
            </w:tcBorders>
            <w:shd w:val="clear" w:color="auto" w:fill="auto"/>
            <w:vAlign w:val="center"/>
            <w:hideMark/>
          </w:tcPr>
          <w:p w14:paraId="380E687E"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N/A</w:t>
            </w:r>
          </w:p>
        </w:tc>
        <w:tc>
          <w:tcPr>
            <w:tcW w:w="887" w:type="dxa"/>
            <w:tcBorders>
              <w:top w:val="nil"/>
              <w:left w:val="single" w:sz="4" w:space="0" w:color="auto"/>
              <w:bottom w:val="single" w:sz="4" w:space="0" w:color="000000"/>
              <w:right w:val="single" w:sz="4" w:space="0" w:color="auto"/>
            </w:tcBorders>
            <w:vAlign w:val="center"/>
            <w:hideMark/>
          </w:tcPr>
          <w:p w14:paraId="1BCB82CA"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3" w:type="dxa"/>
            <w:tcBorders>
              <w:top w:val="nil"/>
              <w:left w:val="single" w:sz="4" w:space="0" w:color="auto"/>
              <w:bottom w:val="single" w:sz="4" w:space="0" w:color="000000"/>
              <w:right w:val="single" w:sz="4" w:space="0" w:color="auto"/>
            </w:tcBorders>
            <w:vAlign w:val="center"/>
            <w:hideMark/>
          </w:tcPr>
          <w:p w14:paraId="69655121"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8" w:type="dxa"/>
            <w:tcBorders>
              <w:top w:val="nil"/>
              <w:left w:val="single" w:sz="4" w:space="0" w:color="auto"/>
              <w:bottom w:val="single" w:sz="4" w:space="0" w:color="000000"/>
              <w:right w:val="single" w:sz="4" w:space="0" w:color="auto"/>
            </w:tcBorders>
            <w:vAlign w:val="center"/>
            <w:hideMark/>
          </w:tcPr>
          <w:p w14:paraId="6EE63F58"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3" w:type="dxa"/>
            <w:tcBorders>
              <w:top w:val="nil"/>
              <w:left w:val="nil"/>
              <w:bottom w:val="single" w:sz="4" w:space="0" w:color="auto"/>
              <w:right w:val="single" w:sz="4" w:space="0" w:color="auto"/>
            </w:tcBorders>
            <w:shd w:val="clear" w:color="auto" w:fill="auto"/>
            <w:noWrap/>
            <w:vAlign w:val="center"/>
            <w:hideMark/>
          </w:tcPr>
          <w:p w14:paraId="12190370"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0.44</w:t>
            </w:r>
          </w:p>
        </w:tc>
        <w:tc>
          <w:tcPr>
            <w:tcW w:w="879" w:type="dxa"/>
            <w:tcBorders>
              <w:top w:val="nil"/>
              <w:left w:val="nil"/>
              <w:bottom w:val="single" w:sz="4" w:space="0" w:color="auto"/>
              <w:right w:val="single" w:sz="4" w:space="0" w:color="auto"/>
            </w:tcBorders>
            <w:shd w:val="clear" w:color="auto" w:fill="auto"/>
            <w:noWrap/>
            <w:vAlign w:val="center"/>
            <w:hideMark/>
          </w:tcPr>
          <w:p w14:paraId="64A5ABE3"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0.43</w:t>
            </w:r>
          </w:p>
        </w:tc>
        <w:tc>
          <w:tcPr>
            <w:tcW w:w="884" w:type="dxa"/>
            <w:tcBorders>
              <w:top w:val="nil"/>
              <w:left w:val="nil"/>
              <w:bottom w:val="single" w:sz="4" w:space="0" w:color="auto"/>
              <w:right w:val="single" w:sz="4" w:space="0" w:color="auto"/>
            </w:tcBorders>
            <w:shd w:val="clear" w:color="auto" w:fill="auto"/>
            <w:noWrap/>
            <w:vAlign w:val="center"/>
            <w:hideMark/>
          </w:tcPr>
          <w:p w14:paraId="42C01941"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4.68</w:t>
            </w:r>
          </w:p>
        </w:tc>
        <w:tc>
          <w:tcPr>
            <w:tcW w:w="879" w:type="dxa"/>
            <w:tcBorders>
              <w:top w:val="nil"/>
              <w:left w:val="nil"/>
              <w:bottom w:val="single" w:sz="4" w:space="0" w:color="auto"/>
              <w:right w:val="single" w:sz="4" w:space="0" w:color="auto"/>
            </w:tcBorders>
            <w:shd w:val="clear" w:color="auto" w:fill="auto"/>
            <w:noWrap/>
            <w:vAlign w:val="center"/>
            <w:hideMark/>
          </w:tcPr>
          <w:p w14:paraId="5E959AC5"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1.5</w:t>
            </w:r>
          </w:p>
        </w:tc>
      </w:tr>
      <w:tr w:rsidR="00B65919" w:rsidRPr="004A618E" w14:paraId="234917DE" w14:textId="77777777" w:rsidTr="004A618E">
        <w:trPr>
          <w:trHeight w:val="447"/>
        </w:trPr>
        <w:tc>
          <w:tcPr>
            <w:tcW w:w="878" w:type="dxa"/>
            <w:tcBorders>
              <w:top w:val="nil"/>
              <w:left w:val="single" w:sz="4" w:space="0" w:color="auto"/>
              <w:bottom w:val="single" w:sz="4" w:space="0" w:color="auto"/>
              <w:right w:val="single" w:sz="4" w:space="0" w:color="auto"/>
            </w:tcBorders>
            <w:shd w:val="clear" w:color="auto" w:fill="auto"/>
            <w:vAlign w:val="center"/>
            <w:hideMark/>
          </w:tcPr>
          <w:p w14:paraId="27164A04"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100%</w:t>
            </w:r>
          </w:p>
        </w:tc>
        <w:tc>
          <w:tcPr>
            <w:tcW w:w="908" w:type="dxa"/>
            <w:vMerge w:val="restart"/>
            <w:tcBorders>
              <w:top w:val="nil"/>
              <w:left w:val="single" w:sz="4" w:space="0" w:color="auto"/>
              <w:bottom w:val="single" w:sz="4" w:space="0" w:color="000000"/>
              <w:right w:val="single" w:sz="4" w:space="0" w:color="auto"/>
            </w:tcBorders>
            <w:shd w:val="clear" w:color="auto" w:fill="auto"/>
            <w:vAlign w:val="center"/>
            <w:hideMark/>
          </w:tcPr>
          <w:p w14:paraId="1D223A52"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SBFD</w:t>
            </w:r>
          </w:p>
        </w:tc>
        <w:tc>
          <w:tcPr>
            <w:tcW w:w="887" w:type="dxa"/>
            <w:tcBorders>
              <w:top w:val="nil"/>
              <w:left w:val="single" w:sz="4" w:space="0" w:color="auto"/>
              <w:bottom w:val="single" w:sz="4" w:space="0" w:color="000000"/>
              <w:right w:val="single" w:sz="4" w:space="0" w:color="auto"/>
            </w:tcBorders>
            <w:vAlign w:val="center"/>
            <w:hideMark/>
          </w:tcPr>
          <w:p w14:paraId="45241E7A"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7" w:type="dxa"/>
            <w:tcBorders>
              <w:top w:val="nil"/>
              <w:left w:val="nil"/>
              <w:bottom w:val="single" w:sz="4" w:space="0" w:color="auto"/>
              <w:right w:val="single" w:sz="4" w:space="0" w:color="auto"/>
            </w:tcBorders>
            <w:shd w:val="clear" w:color="auto" w:fill="auto"/>
            <w:vAlign w:val="center"/>
            <w:hideMark/>
          </w:tcPr>
          <w:p w14:paraId="15B1FB20"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Option 1 (same size)</w:t>
            </w:r>
          </w:p>
        </w:tc>
        <w:tc>
          <w:tcPr>
            <w:tcW w:w="887" w:type="dxa"/>
            <w:tcBorders>
              <w:top w:val="nil"/>
              <w:left w:val="single" w:sz="4" w:space="0" w:color="auto"/>
              <w:bottom w:val="single" w:sz="4" w:space="0" w:color="000000"/>
              <w:right w:val="single" w:sz="4" w:space="0" w:color="auto"/>
            </w:tcBorders>
            <w:vAlign w:val="center"/>
            <w:hideMark/>
          </w:tcPr>
          <w:p w14:paraId="67FBB511"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3" w:type="dxa"/>
            <w:tcBorders>
              <w:top w:val="nil"/>
              <w:left w:val="single" w:sz="4" w:space="0" w:color="auto"/>
              <w:bottom w:val="single" w:sz="4" w:space="0" w:color="000000"/>
              <w:right w:val="single" w:sz="4" w:space="0" w:color="auto"/>
            </w:tcBorders>
            <w:vAlign w:val="center"/>
            <w:hideMark/>
          </w:tcPr>
          <w:p w14:paraId="3E5E4117"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8" w:type="dxa"/>
            <w:vMerge w:val="restart"/>
            <w:tcBorders>
              <w:top w:val="nil"/>
              <w:left w:val="single" w:sz="4" w:space="0" w:color="auto"/>
              <w:bottom w:val="single" w:sz="4" w:space="0" w:color="000000"/>
              <w:right w:val="single" w:sz="4" w:space="0" w:color="auto"/>
            </w:tcBorders>
            <w:shd w:val="clear" w:color="auto" w:fill="auto"/>
            <w:vAlign w:val="center"/>
            <w:hideMark/>
          </w:tcPr>
          <w:p w14:paraId="40F3E91F"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Option 2:</w:t>
            </w:r>
            <w:r w:rsidRPr="004A618E">
              <w:rPr>
                <w:rFonts w:ascii="Times New Roman" w:eastAsia="Times New Roman" w:hAnsi="Times New Roman" w:cs="Times New Roman"/>
                <w:sz w:val="16"/>
                <w:szCs w:val="16"/>
                <w:lang w:val="en-US"/>
              </w:rPr>
              <w:br/>
              <w:t>SBFD: 50 dBm</w:t>
            </w:r>
          </w:p>
        </w:tc>
        <w:tc>
          <w:tcPr>
            <w:tcW w:w="883" w:type="dxa"/>
            <w:tcBorders>
              <w:top w:val="nil"/>
              <w:left w:val="nil"/>
              <w:bottom w:val="single" w:sz="4" w:space="0" w:color="auto"/>
              <w:right w:val="single" w:sz="4" w:space="0" w:color="auto"/>
            </w:tcBorders>
            <w:shd w:val="clear" w:color="auto" w:fill="auto"/>
            <w:noWrap/>
            <w:vAlign w:val="center"/>
            <w:hideMark/>
          </w:tcPr>
          <w:p w14:paraId="684314F7"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0.26</w:t>
            </w:r>
          </w:p>
        </w:tc>
        <w:tc>
          <w:tcPr>
            <w:tcW w:w="879" w:type="dxa"/>
            <w:tcBorders>
              <w:top w:val="nil"/>
              <w:left w:val="nil"/>
              <w:bottom w:val="single" w:sz="4" w:space="0" w:color="auto"/>
              <w:right w:val="single" w:sz="4" w:space="0" w:color="auto"/>
            </w:tcBorders>
            <w:shd w:val="clear" w:color="auto" w:fill="auto"/>
            <w:noWrap/>
            <w:vAlign w:val="center"/>
            <w:hideMark/>
          </w:tcPr>
          <w:p w14:paraId="7088253D"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0.34</w:t>
            </w:r>
          </w:p>
        </w:tc>
        <w:tc>
          <w:tcPr>
            <w:tcW w:w="884" w:type="dxa"/>
            <w:tcBorders>
              <w:top w:val="nil"/>
              <w:left w:val="nil"/>
              <w:bottom w:val="single" w:sz="4" w:space="0" w:color="auto"/>
              <w:right w:val="single" w:sz="4" w:space="0" w:color="auto"/>
            </w:tcBorders>
            <w:shd w:val="clear" w:color="auto" w:fill="auto"/>
            <w:noWrap/>
            <w:vAlign w:val="center"/>
            <w:hideMark/>
          </w:tcPr>
          <w:p w14:paraId="32098960"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2.78</w:t>
            </w:r>
          </w:p>
        </w:tc>
        <w:tc>
          <w:tcPr>
            <w:tcW w:w="879" w:type="dxa"/>
            <w:tcBorders>
              <w:top w:val="nil"/>
              <w:left w:val="nil"/>
              <w:bottom w:val="single" w:sz="4" w:space="0" w:color="auto"/>
              <w:right w:val="single" w:sz="4" w:space="0" w:color="auto"/>
            </w:tcBorders>
            <w:shd w:val="clear" w:color="auto" w:fill="auto"/>
            <w:noWrap/>
            <w:vAlign w:val="center"/>
            <w:hideMark/>
          </w:tcPr>
          <w:p w14:paraId="32E7F73A"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0.91</w:t>
            </w:r>
          </w:p>
        </w:tc>
      </w:tr>
      <w:tr w:rsidR="00B65919" w:rsidRPr="004A618E" w14:paraId="4FD514D4" w14:textId="77777777" w:rsidTr="004A618E">
        <w:trPr>
          <w:trHeight w:val="447"/>
        </w:trPr>
        <w:tc>
          <w:tcPr>
            <w:tcW w:w="878" w:type="dxa"/>
            <w:tcBorders>
              <w:top w:val="nil"/>
              <w:left w:val="single" w:sz="4" w:space="0" w:color="auto"/>
              <w:bottom w:val="single" w:sz="4" w:space="0" w:color="auto"/>
              <w:right w:val="single" w:sz="4" w:space="0" w:color="auto"/>
            </w:tcBorders>
            <w:shd w:val="clear" w:color="auto" w:fill="auto"/>
            <w:vAlign w:val="center"/>
            <w:hideMark/>
          </w:tcPr>
          <w:p w14:paraId="46255FC9"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10%</w:t>
            </w:r>
          </w:p>
        </w:tc>
        <w:tc>
          <w:tcPr>
            <w:tcW w:w="908" w:type="dxa"/>
            <w:vMerge/>
            <w:tcBorders>
              <w:top w:val="nil"/>
              <w:left w:val="single" w:sz="4" w:space="0" w:color="auto"/>
              <w:bottom w:val="single" w:sz="4" w:space="0" w:color="000000"/>
              <w:right w:val="single" w:sz="4" w:space="0" w:color="auto"/>
            </w:tcBorders>
            <w:vAlign w:val="center"/>
            <w:hideMark/>
          </w:tcPr>
          <w:p w14:paraId="22D88E71"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single" w:sz="4" w:space="0" w:color="auto"/>
              <w:bottom w:val="single" w:sz="4" w:space="0" w:color="000000"/>
              <w:right w:val="single" w:sz="4" w:space="0" w:color="auto"/>
            </w:tcBorders>
            <w:vAlign w:val="center"/>
            <w:hideMark/>
          </w:tcPr>
          <w:p w14:paraId="68DD5885"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7" w:type="dxa"/>
            <w:tcBorders>
              <w:top w:val="nil"/>
              <w:left w:val="nil"/>
              <w:bottom w:val="single" w:sz="4" w:space="0" w:color="auto"/>
              <w:right w:val="single" w:sz="4" w:space="0" w:color="auto"/>
            </w:tcBorders>
            <w:shd w:val="clear" w:color="auto" w:fill="auto"/>
            <w:vAlign w:val="center"/>
            <w:hideMark/>
          </w:tcPr>
          <w:p w14:paraId="0E99CD7F"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Option 1 (same size)</w:t>
            </w:r>
          </w:p>
        </w:tc>
        <w:tc>
          <w:tcPr>
            <w:tcW w:w="887" w:type="dxa"/>
            <w:tcBorders>
              <w:top w:val="nil"/>
              <w:left w:val="single" w:sz="4" w:space="0" w:color="auto"/>
              <w:bottom w:val="single" w:sz="4" w:space="0" w:color="000000"/>
              <w:right w:val="single" w:sz="4" w:space="0" w:color="auto"/>
            </w:tcBorders>
            <w:vAlign w:val="center"/>
            <w:hideMark/>
          </w:tcPr>
          <w:p w14:paraId="3D6D392F"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3" w:type="dxa"/>
            <w:tcBorders>
              <w:top w:val="nil"/>
              <w:left w:val="single" w:sz="4" w:space="0" w:color="auto"/>
              <w:bottom w:val="single" w:sz="4" w:space="0" w:color="000000"/>
              <w:right w:val="single" w:sz="4" w:space="0" w:color="auto"/>
            </w:tcBorders>
            <w:vAlign w:val="center"/>
            <w:hideMark/>
          </w:tcPr>
          <w:p w14:paraId="223794D2"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8" w:type="dxa"/>
            <w:vMerge/>
            <w:tcBorders>
              <w:top w:val="nil"/>
              <w:left w:val="single" w:sz="4" w:space="0" w:color="auto"/>
              <w:bottom w:val="single" w:sz="4" w:space="0" w:color="000000"/>
              <w:right w:val="single" w:sz="4" w:space="0" w:color="auto"/>
            </w:tcBorders>
            <w:vAlign w:val="center"/>
            <w:hideMark/>
          </w:tcPr>
          <w:p w14:paraId="49550079"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3" w:type="dxa"/>
            <w:tcBorders>
              <w:top w:val="nil"/>
              <w:left w:val="nil"/>
              <w:bottom w:val="single" w:sz="4" w:space="0" w:color="auto"/>
              <w:right w:val="single" w:sz="4" w:space="0" w:color="auto"/>
            </w:tcBorders>
            <w:shd w:val="clear" w:color="auto" w:fill="auto"/>
            <w:noWrap/>
            <w:vAlign w:val="center"/>
            <w:hideMark/>
          </w:tcPr>
          <w:p w14:paraId="5D000709"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0.13</w:t>
            </w:r>
          </w:p>
        </w:tc>
        <w:tc>
          <w:tcPr>
            <w:tcW w:w="879" w:type="dxa"/>
            <w:tcBorders>
              <w:top w:val="nil"/>
              <w:left w:val="nil"/>
              <w:bottom w:val="single" w:sz="4" w:space="0" w:color="auto"/>
              <w:right w:val="single" w:sz="4" w:space="0" w:color="auto"/>
            </w:tcBorders>
            <w:shd w:val="clear" w:color="auto" w:fill="auto"/>
            <w:noWrap/>
            <w:vAlign w:val="center"/>
            <w:hideMark/>
          </w:tcPr>
          <w:p w14:paraId="651ABF61"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0.36</w:t>
            </w:r>
          </w:p>
        </w:tc>
        <w:tc>
          <w:tcPr>
            <w:tcW w:w="884" w:type="dxa"/>
            <w:tcBorders>
              <w:top w:val="nil"/>
              <w:left w:val="nil"/>
              <w:bottom w:val="single" w:sz="4" w:space="0" w:color="auto"/>
              <w:right w:val="single" w:sz="4" w:space="0" w:color="auto"/>
            </w:tcBorders>
            <w:shd w:val="clear" w:color="auto" w:fill="auto"/>
            <w:noWrap/>
            <w:vAlign w:val="center"/>
            <w:hideMark/>
          </w:tcPr>
          <w:p w14:paraId="4E2CE7A5"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1.35</w:t>
            </w:r>
          </w:p>
        </w:tc>
        <w:tc>
          <w:tcPr>
            <w:tcW w:w="879" w:type="dxa"/>
            <w:tcBorders>
              <w:top w:val="nil"/>
              <w:left w:val="nil"/>
              <w:bottom w:val="single" w:sz="4" w:space="0" w:color="auto"/>
              <w:right w:val="single" w:sz="4" w:space="0" w:color="auto"/>
            </w:tcBorders>
            <w:shd w:val="clear" w:color="auto" w:fill="auto"/>
            <w:noWrap/>
            <w:vAlign w:val="center"/>
            <w:hideMark/>
          </w:tcPr>
          <w:p w14:paraId="2BBF8500"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0.75</w:t>
            </w:r>
          </w:p>
        </w:tc>
      </w:tr>
      <w:tr w:rsidR="00A94381" w:rsidRPr="004A618E" w14:paraId="78679000" w14:textId="77777777" w:rsidTr="004A618E">
        <w:trPr>
          <w:trHeight w:val="447"/>
        </w:trPr>
        <w:tc>
          <w:tcPr>
            <w:tcW w:w="878" w:type="dxa"/>
            <w:tcBorders>
              <w:top w:val="nil"/>
              <w:left w:val="single" w:sz="4" w:space="0" w:color="auto"/>
              <w:bottom w:val="single" w:sz="4" w:space="0" w:color="auto"/>
              <w:right w:val="single" w:sz="4" w:space="0" w:color="auto"/>
            </w:tcBorders>
            <w:shd w:val="clear" w:color="auto" w:fill="auto"/>
            <w:vAlign w:val="center"/>
            <w:hideMark/>
          </w:tcPr>
          <w:p w14:paraId="3C8CF656"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100%</w:t>
            </w:r>
          </w:p>
        </w:tc>
        <w:tc>
          <w:tcPr>
            <w:tcW w:w="908" w:type="dxa"/>
            <w:tcBorders>
              <w:top w:val="nil"/>
              <w:left w:val="single" w:sz="4" w:space="0" w:color="auto"/>
              <w:bottom w:val="single" w:sz="4" w:space="0" w:color="000000"/>
              <w:right w:val="single" w:sz="4" w:space="0" w:color="auto"/>
            </w:tcBorders>
            <w:shd w:val="clear" w:color="auto" w:fill="auto"/>
            <w:vAlign w:val="center"/>
            <w:hideMark/>
          </w:tcPr>
          <w:p w14:paraId="06D31B9C"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SBFD</w:t>
            </w:r>
          </w:p>
        </w:tc>
        <w:tc>
          <w:tcPr>
            <w:tcW w:w="887" w:type="dxa"/>
            <w:tcBorders>
              <w:top w:val="nil"/>
              <w:left w:val="single" w:sz="4" w:space="0" w:color="auto"/>
              <w:bottom w:val="single" w:sz="4" w:space="0" w:color="000000"/>
              <w:right w:val="single" w:sz="4" w:space="0" w:color="auto"/>
            </w:tcBorders>
            <w:vAlign w:val="center"/>
            <w:hideMark/>
          </w:tcPr>
          <w:p w14:paraId="6BD6E565"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7" w:type="dxa"/>
            <w:tcBorders>
              <w:top w:val="nil"/>
              <w:left w:val="nil"/>
              <w:bottom w:val="single" w:sz="4" w:space="0" w:color="auto"/>
              <w:right w:val="single" w:sz="4" w:space="0" w:color="auto"/>
            </w:tcBorders>
            <w:shd w:val="clear" w:color="auto" w:fill="auto"/>
            <w:vAlign w:val="center"/>
            <w:hideMark/>
          </w:tcPr>
          <w:p w14:paraId="2E2B3699"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Option 2 (same gain)</w:t>
            </w:r>
          </w:p>
        </w:tc>
        <w:tc>
          <w:tcPr>
            <w:tcW w:w="887" w:type="dxa"/>
            <w:tcBorders>
              <w:top w:val="nil"/>
              <w:left w:val="single" w:sz="4" w:space="0" w:color="auto"/>
              <w:bottom w:val="single" w:sz="4" w:space="0" w:color="000000"/>
              <w:right w:val="single" w:sz="4" w:space="0" w:color="auto"/>
            </w:tcBorders>
            <w:vAlign w:val="center"/>
            <w:hideMark/>
          </w:tcPr>
          <w:p w14:paraId="4ADA5C6E"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3" w:type="dxa"/>
            <w:tcBorders>
              <w:top w:val="nil"/>
              <w:left w:val="single" w:sz="4" w:space="0" w:color="auto"/>
              <w:bottom w:val="single" w:sz="4" w:space="0" w:color="000000"/>
              <w:right w:val="single" w:sz="4" w:space="0" w:color="auto"/>
            </w:tcBorders>
            <w:vAlign w:val="center"/>
            <w:hideMark/>
          </w:tcPr>
          <w:p w14:paraId="3618C16D"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8" w:type="dxa"/>
            <w:tcBorders>
              <w:top w:val="nil"/>
              <w:left w:val="single" w:sz="4" w:space="0" w:color="auto"/>
              <w:bottom w:val="single" w:sz="4" w:space="0" w:color="000000"/>
              <w:right w:val="single" w:sz="4" w:space="0" w:color="auto"/>
            </w:tcBorders>
            <w:shd w:val="clear" w:color="auto" w:fill="auto"/>
            <w:vAlign w:val="center"/>
            <w:hideMark/>
          </w:tcPr>
          <w:p w14:paraId="6EC147CA"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Option 2:</w:t>
            </w:r>
            <w:r w:rsidRPr="004A618E">
              <w:rPr>
                <w:rFonts w:ascii="Times New Roman" w:eastAsia="Times New Roman" w:hAnsi="Times New Roman" w:cs="Times New Roman"/>
                <w:sz w:val="16"/>
                <w:szCs w:val="16"/>
                <w:lang w:val="en-US"/>
              </w:rPr>
              <w:br/>
              <w:t>SBFD: 53 dBm</w:t>
            </w:r>
          </w:p>
        </w:tc>
        <w:tc>
          <w:tcPr>
            <w:tcW w:w="883" w:type="dxa"/>
            <w:tcBorders>
              <w:top w:val="nil"/>
              <w:left w:val="nil"/>
              <w:bottom w:val="single" w:sz="4" w:space="0" w:color="auto"/>
              <w:right w:val="single" w:sz="4" w:space="0" w:color="auto"/>
            </w:tcBorders>
            <w:shd w:val="clear" w:color="auto" w:fill="auto"/>
            <w:noWrap/>
            <w:vAlign w:val="center"/>
            <w:hideMark/>
          </w:tcPr>
          <w:p w14:paraId="07EBFE62"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0.53</w:t>
            </w:r>
          </w:p>
        </w:tc>
        <w:tc>
          <w:tcPr>
            <w:tcW w:w="879" w:type="dxa"/>
            <w:tcBorders>
              <w:top w:val="nil"/>
              <w:left w:val="nil"/>
              <w:bottom w:val="single" w:sz="4" w:space="0" w:color="auto"/>
              <w:right w:val="single" w:sz="4" w:space="0" w:color="auto"/>
            </w:tcBorders>
            <w:shd w:val="clear" w:color="auto" w:fill="auto"/>
            <w:noWrap/>
            <w:vAlign w:val="center"/>
            <w:hideMark/>
          </w:tcPr>
          <w:p w14:paraId="038A9B98"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0.46</w:t>
            </w:r>
          </w:p>
        </w:tc>
        <w:tc>
          <w:tcPr>
            <w:tcW w:w="88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77FCD37"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5.66</w:t>
            </w:r>
          </w:p>
        </w:tc>
        <w:tc>
          <w:tcPr>
            <w:tcW w:w="879" w:type="dxa"/>
            <w:tcBorders>
              <w:top w:val="nil"/>
              <w:left w:val="nil"/>
              <w:bottom w:val="single" w:sz="4" w:space="0" w:color="auto"/>
              <w:right w:val="single" w:sz="4" w:space="0" w:color="auto"/>
            </w:tcBorders>
            <w:shd w:val="clear" w:color="auto" w:fill="auto"/>
            <w:noWrap/>
            <w:vAlign w:val="center"/>
            <w:hideMark/>
          </w:tcPr>
          <w:p w14:paraId="7CF09D41"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1.36</w:t>
            </w:r>
          </w:p>
        </w:tc>
      </w:tr>
      <w:tr w:rsidR="004A618E" w:rsidRPr="004A618E" w14:paraId="6D6327EF" w14:textId="77777777" w:rsidTr="00B334F7">
        <w:trPr>
          <w:trHeight w:val="447"/>
        </w:trPr>
        <w:tc>
          <w:tcPr>
            <w:tcW w:w="878" w:type="dxa"/>
            <w:tcBorders>
              <w:top w:val="nil"/>
              <w:left w:val="single" w:sz="4" w:space="0" w:color="auto"/>
              <w:bottom w:val="single" w:sz="4" w:space="0" w:color="auto"/>
              <w:right w:val="single" w:sz="4" w:space="0" w:color="auto"/>
            </w:tcBorders>
            <w:shd w:val="clear" w:color="auto" w:fill="auto"/>
            <w:vAlign w:val="center"/>
            <w:hideMark/>
          </w:tcPr>
          <w:p w14:paraId="7EDF6B1E"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10%</w:t>
            </w:r>
          </w:p>
        </w:tc>
        <w:tc>
          <w:tcPr>
            <w:tcW w:w="908" w:type="dxa"/>
            <w:tcBorders>
              <w:top w:val="nil"/>
              <w:left w:val="single" w:sz="4" w:space="0" w:color="auto"/>
              <w:bottom w:val="single" w:sz="4" w:space="0" w:color="000000"/>
              <w:right w:val="single" w:sz="4" w:space="0" w:color="auto"/>
            </w:tcBorders>
            <w:vAlign w:val="center"/>
            <w:hideMark/>
          </w:tcPr>
          <w:p w14:paraId="5C1D697D"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single" w:sz="4" w:space="0" w:color="auto"/>
              <w:bottom w:val="single" w:sz="4" w:space="0" w:color="000000"/>
              <w:right w:val="single" w:sz="4" w:space="0" w:color="auto"/>
            </w:tcBorders>
            <w:vAlign w:val="center"/>
            <w:hideMark/>
          </w:tcPr>
          <w:p w14:paraId="6F64C988"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7" w:type="dxa"/>
            <w:tcBorders>
              <w:top w:val="nil"/>
              <w:left w:val="nil"/>
              <w:bottom w:val="single" w:sz="4" w:space="0" w:color="auto"/>
              <w:right w:val="single" w:sz="4" w:space="0" w:color="auto"/>
            </w:tcBorders>
            <w:shd w:val="clear" w:color="auto" w:fill="auto"/>
            <w:vAlign w:val="center"/>
            <w:hideMark/>
          </w:tcPr>
          <w:p w14:paraId="0894608B" w14:textId="77777777" w:rsidR="004A618E" w:rsidRPr="004A618E" w:rsidRDefault="004A618E" w:rsidP="004A618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618E">
              <w:rPr>
                <w:rFonts w:ascii="Times New Roman" w:eastAsia="Times New Roman" w:hAnsi="Times New Roman" w:cs="Times New Roman"/>
                <w:sz w:val="16"/>
                <w:szCs w:val="16"/>
                <w:lang w:val="en-US"/>
              </w:rPr>
              <w:t>Option 2 (same gain)</w:t>
            </w:r>
          </w:p>
        </w:tc>
        <w:tc>
          <w:tcPr>
            <w:tcW w:w="887" w:type="dxa"/>
            <w:tcBorders>
              <w:top w:val="nil"/>
              <w:left w:val="single" w:sz="4" w:space="0" w:color="auto"/>
              <w:bottom w:val="single" w:sz="4" w:space="0" w:color="000000"/>
              <w:right w:val="single" w:sz="4" w:space="0" w:color="auto"/>
            </w:tcBorders>
            <w:vAlign w:val="center"/>
            <w:hideMark/>
          </w:tcPr>
          <w:p w14:paraId="3F486AF8"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3" w:type="dxa"/>
            <w:tcBorders>
              <w:top w:val="nil"/>
              <w:left w:val="single" w:sz="4" w:space="0" w:color="auto"/>
              <w:bottom w:val="single" w:sz="4" w:space="0" w:color="000000"/>
              <w:right w:val="single" w:sz="4" w:space="0" w:color="auto"/>
            </w:tcBorders>
            <w:vAlign w:val="center"/>
            <w:hideMark/>
          </w:tcPr>
          <w:p w14:paraId="583C87F4"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8" w:type="dxa"/>
            <w:tcBorders>
              <w:top w:val="nil"/>
              <w:left w:val="single" w:sz="4" w:space="0" w:color="auto"/>
              <w:bottom w:val="single" w:sz="4" w:space="0" w:color="000000"/>
              <w:right w:val="single" w:sz="4" w:space="0" w:color="auto"/>
            </w:tcBorders>
            <w:vAlign w:val="center"/>
            <w:hideMark/>
          </w:tcPr>
          <w:p w14:paraId="25389002" w14:textId="77777777" w:rsidR="004A618E" w:rsidRPr="004A618E" w:rsidRDefault="004A618E" w:rsidP="004A618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3" w:type="dxa"/>
            <w:tcBorders>
              <w:top w:val="nil"/>
              <w:left w:val="nil"/>
              <w:bottom w:val="single" w:sz="4" w:space="0" w:color="auto"/>
              <w:right w:val="single" w:sz="4" w:space="0" w:color="auto"/>
            </w:tcBorders>
            <w:shd w:val="clear" w:color="auto" w:fill="auto"/>
            <w:noWrap/>
            <w:vAlign w:val="center"/>
            <w:hideMark/>
          </w:tcPr>
          <w:p w14:paraId="05F95394"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0.17</w:t>
            </w:r>
          </w:p>
        </w:tc>
        <w:tc>
          <w:tcPr>
            <w:tcW w:w="879" w:type="dxa"/>
            <w:tcBorders>
              <w:top w:val="nil"/>
              <w:left w:val="nil"/>
              <w:bottom w:val="single" w:sz="4" w:space="0" w:color="auto"/>
              <w:right w:val="single" w:sz="4" w:space="0" w:color="auto"/>
            </w:tcBorders>
            <w:shd w:val="clear" w:color="auto" w:fill="auto"/>
            <w:noWrap/>
            <w:vAlign w:val="center"/>
            <w:hideMark/>
          </w:tcPr>
          <w:p w14:paraId="490806BE"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0.48</w:t>
            </w:r>
          </w:p>
        </w:tc>
        <w:tc>
          <w:tcPr>
            <w:tcW w:w="884" w:type="dxa"/>
            <w:tcBorders>
              <w:top w:val="nil"/>
              <w:left w:val="nil"/>
              <w:bottom w:val="single" w:sz="4" w:space="0" w:color="auto"/>
              <w:right w:val="single" w:sz="4" w:space="0" w:color="auto"/>
            </w:tcBorders>
            <w:shd w:val="clear" w:color="auto" w:fill="auto"/>
            <w:noWrap/>
            <w:vAlign w:val="center"/>
            <w:hideMark/>
          </w:tcPr>
          <w:p w14:paraId="53F786C8"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1.76</w:t>
            </w:r>
          </w:p>
        </w:tc>
        <w:tc>
          <w:tcPr>
            <w:tcW w:w="879" w:type="dxa"/>
            <w:tcBorders>
              <w:top w:val="nil"/>
              <w:left w:val="nil"/>
              <w:bottom w:val="single" w:sz="4" w:space="0" w:color="auto"/>
              <w:right w:val="single" w:sz="4" w:space="0" w:color="auto"/>
            </w:tcBorders>
            <w:shd w:val="clear" w:color="auto" w:fill="auto"/>
            <w:noWrap/>
            <w:vAlign w:val="center"/>
            <w:hideMark/>
          </w:tcPr>
          <w:p w14:paraId="59FA85BD" w14:textId="77777777" w:rsidR="004A618E" w:rsidRPr="00B334F7" w:rsidRDefault="004A618E" w:rsidP="004A618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1.14</w:t>
            </w:r>
          </w:p>
        </w:tc>
      </w:tr>
    </w:tbl>
    <w:p w14:paraId="41F333B0" w14:textId="77777777" w:rsidR="00296697" w:rsidRDefault="00296697" w:rsidP="002603A2"/>
    <w:p w14:paraId="2F3ECE18" w14:textId="7BF04F7F" w:rsidR="00012928" w:rsidRDefault="00012928" w:rsidP="00012928">
      <w:r>
        <w:t xml:space="preserve">Based on the results presented, we conclude the following on the coexistence </w:t>
      </w:r>
      <w:r w:rsidR="009534CC">
        <w:t>for this scenario and case</w:t>
      </w:r>
      <w:r>
        <w:t>:</w:t>
      </w:r>
    </w:p>
    <w:p w14:paraId="30A3DC34" w14:textId="5D5FFBEB" w:rsidR="00012928" w:rsidRDefault="00012928" w:rsidP="00012928">
      <w:r w:rsidRPr="00B10AC6">
        <w:rPr>
          <w:b/>
          <w:bCs/>
        </w:rPr>
        <w:t xml:space="preserve">Proposal </w:t>
      </w:r>
      <w:r w:rsidR="00234C88">
        <w:rPr>
          <w:b/>
          <w:bCs/>
        </w:rPr>
        <w:t>2</w:t>
      </w:r>
      <w:r w:rsidRPr="00B10AC6">
        <w:rPr>
          <w:b/>
          <w:bCs/>
        </w:rPr>
        <w:t xml:space="preserve">: The performance degradation for </w:t>
      </w:r>
      <w:r>
        <w:rPr>
          <w:b/>
          <w:bCs/>
        </w:rPr>
        <w:t>Urban Macro Ca</w:t>
      </w:r>
      <w:r w:rsidRPr="00B10AC6">
        <w:rPr>
          <w:b/>
          <w:bCs/>
        </w:rPr>
        <w:t>se 1 is acceptable for both TDD DL and SBFD aggressor technologies.</w:t>
      </w:r>
    </w:p>
    <w:p w14:paraId="0EE58FD9" w14:textId="0EF666B3" w:rsidR="004A19BB" w:rsidRDefault="004A19BB">
      <w:pPr>
        <w:pStyle w:val="Heading4"/>
        <w:rPr>
          <w:lang w:val="en-US"/>
        </w:rPr>
      </w:pPr>
      <w:r w:rsidRPr="00F534F3">
        <w:rPr>
          <w:lang w:val="en-US"/>
        </w:rPr>
        <w:t xml:space="preserve">3.1.2 </w:t>
      </w:r>
      <w:r w:rsidR="009701D8" w:rsidRPr="00F534F3">
        <w:rPr>
          <w:lang w:val="en-US"/>
        </w:rPr>
        <w:t xml:space="preserve">Scenario 2: </w:t>
      </w:r>
      <w:r w:rsidR="009E2979" w:rsidRPr="00F534F3">
        <w:rPr>
          <w:lang w:val="en-US"/>
        </w:rPr>
        <w:t xml:space="preserve">FR1 </w:t>
      </w:r>
      <w:r w:rsidRPr="00F534F3">
        <w:rPr>
          <w:lang w:val="en-US"/>
        </w:rPr>
        <w:t xml:space="preserve">Urban </w:t>
      </w:r>
      <w:r w:rsidR="004D0D2F" w:rsidRPr="00F534F3">
        <w:rPr>
          <w:lang w:val="en-US"/>
        </w:rPr>
        <w:t>H</w:t>
      </w:r>
      <w:r w:rsidRPr="00F534F3">
        <w:rPr>
          <w:lang w:val="en-US"/>
        </w:rPr>
        <w:t>otspot</w:t>
      </w:r>
    </w:p>
    <w:p w14:paraId="2A8B712C" w14:textId="09B388AA" w:rsidR="009737BC" w:rsidRDefault="00972104" w:rsidP="00B334F7">
      <w:r>
        <w:rPr>
          <w:highlight w:val="yellow"/>
          <w:lang w:val="en-US"/>
        </w:rPr>
        <w:fldChar w:fldCharType="begin"/>
      </w:r>
      <w:r>
        <w:rPr>
          <w:highlight w:val="yellow"/>
          <w:lang w:val="en-US"/>
        </w:rPr>
        <w:instrText xml:space="preserve"> REF _Ref146538996 \h </w:instrText>
      </w:r>
      <w:r>
        <w:rPr>
          <w:highlight w:val="yellow"/>
          <w:lang w:val="en-US"/>
        </w:rPr>
      </w:r>
      <w:r>
        <w:rPr>
          <w:highlight w:val="yellow"/>
          <w:lang w:val="en-US"/>
        </w:rPr>
        <w:fldChar w:fldCharType="separate"/>
      </w:r>
      <w:r w:rsidR="004D336C">
        <w:t xml:space="preserve">Figure </w:t>
      </w:r>
      <w:r w:rsidR="004D336C">
        <w:rPr>
          <w:noProof/>
        </w:rPr>
        <w:t>2</w:t>
      </w:r>
      <w:r>
        <w:rPr>
          <w:highlight w:val="yellow"/>
          <w:lang w:val="en-US"/>
        </w:rPr>
        <w:fldChar w:fldCharType="end"/>
      </w:r>
      <w:r w:rsidR="00483891">
        <w:rPr>
          <w:highlight w:val="yellow"/>
          <w:lang w:val="en-US"/>
        </w:rPr>
        <w:fldChar w:fldCharType="begin"/>
      </w:r>
      <w:r w:rsidR="00483891">
        <w:rPr>
          <w:lang w:val="en-US"/>
        </w:rPr>
        <w:instrText xml:space="preserve"> REF _Ref142662254 \h </w:instrText>
      </w:r>
      <w:r w:rsidR="00483891">
        <w:rPr>
          <w:highlight w:val="yellow"/>
          <w:lang w:val="en-US"/>
        </w:rPr>
      </w:r>
      <w:r w:rsidR="00483891">
        <w:rPr>
          <w:highlight w:val="yellow"/>
          <w:lang w:val="en-US"/>
        </w:rPr>
        <w:fldChar w:fldCharType="end"/>
      </w:r>
      <w:r w:rsidR="00483891">
        <w:rPr>
          <w:lang w:val="en-US"/>
        </w:rPr>
        <w:t xml:space="preserve"> </w:t>
      </w:r>
      <w:r w:rsidR="00073F33" w:rsidRPr="005B4A37">
        <w:rPr>
          <w:lang w:val="en-US"/>
        </w:rPr>
        <w:t xml:space="preserve">shows the </w:t>
      </w:r>
      <w:r w:rsidR="00073F33">
        <w:rPr>
          <w:lang w:val="en-US"/>
        </w:rPr>
        <w:t xml:space="preserve">victim </w:t>
      </w:r>
      <w:r w:rsidR="00073F33" w:rsidRPr="005B4A37">
        <w:rPr>
          <w:lang w:val="en-US"/>
        </w:rPr>
        <w:t>DL SINR at 5</w:t>
      </w:r>
      <w:r w:rsidR="00073F33" w:rsidRPr="00EF7212">
        <w:rPr>
          <w:vertAlign w:val="superscript"/>
          <w:lang w:val="en-US"/>
        </w:rPr>
        <w:t>th</w:t>
      </w:r>
      <w:r w:rsidR="00073F33" w:rsidRPr="005B4A37">
        <w:rPr>
          <w:lang w:val="en-US"/>
        </w:rPr>
        <w:t xml:space="preserve"> and 50</w:t>
      </w:r>
      <w:r w:rsidR="00073F33" w:rsidRPr="00EF7212">
        <w:rPr>
          <w:vertAlign w:val="superscript"/>
          <w:lang w:val="en-US"/>
        </w:rPr>
        <w:t>th</w:t>
      </w:r>
      <w:r w:rsidR="00073F33" w:rsidRPr="005B4A37">
        <w:rPr>
          <w:lang w:val="en-US"/>
        </w:rPr>
        <w:t xml:space="preserve"> percentiles </w:t>
      </w:r>
      <w:r w:rsidR="00073F33">
        <w:rPr>
          <w:lang w:val="en-US"/>
        </w:rPr>
        <w:t>and the victim DL throughput at 5</w:t>
      </w:r>
      <w:r w:rsidR="00073F33" w:rsidRPr="009703BE">
        <w:rPr>
          <w:vertAlign w:val="superscript"/>
          <w:lang w:val="en-US"/>
        </w:rPr>
        <w:t>th</w:t>
      </w:r>
      <w:r w:rsidR="00073F33">
        <w:rPr>
          <w:lang w:val="en-US"/>
        </w:rPr>
        <w:t xml:space="preserve"> percentile and average. </w:t>
      </w:r>
      <w:r w:rsidR="00604DE7">
        <w:rPr>
          <w:lang w:val="en-US"/>
        </w:rPr>
        <w:t>The figure includes</w:t>
      </w:r>
      <w:r w:rsidR="00604DE7" w:rsidRPr="005B4A37">
        <w:rPr>
          <w:lang w:val="en-US"/>
        </w:rPr>
        <w:t xml:space="preserve"> cases </w:t>
      </w:r>
      <w:r w:rsidR="00604DE7">
        <w:rPr>
          <w:lang w:val="en-US"/>
        </w:rPr>
        <w:t>with</w:t>
      </w:r>
      <w:r w:rsidR="00604DE7" w:rsidRPr="005B4A37">
        <w:rPr>
          <w:lang w:val="en-US"/>
        </w:rPr>
        <w:t xml:space="preserve"> no </w:t>
      </w:r>
      <w:r w:rsidR="00604DE7">
        <w:rPr>
          <w:lang w:val="en-US"/>
        </w:rPr>
        <w:t>adjacent channel interference (ACI)</w:t>
      </w:r>
      <w:r w:rsidR="00604DE7" w:rsidRPr="005B4A37">
        <w:rPr>
          <w:lang w:val="en-US"/>
        </w:rPr>
        <w:t>, and when ACI is generated by TDD DL or SBFD</w:t>
      </w:r>
      <w:r w:rsidR="00604DE7">
        <w:rPr>
          <w:lang w:val="en-US"/>
        </w:rPr>
        <w:t xml:space="preserve">. </w:t>
      </w:r>
      <w:r w:rsidR="00305291">
        <w:rPr>
          <w:lang w:val="en-US"/>
        </w:rPr>
        <w:t xml:space="preserve">As compared to the Urban Macro scenario, the effect of the adjacent channel interference is more noticeable here. The reason is the grouping of the UEs from victim and aggressor gNBs </w:t>
      </w:r>
      <w:r w:rsidR="00C26E30">
        <w:rPr>
          <w:lang w:val="en-US"/>
        </w:rPr>
        <w:t xml:space="preserve">within the clusters. Thus, the </w:t>
      </w:r>
      <w:r w:rsidR="000200B9">
        <w:rPr>
          <w:lang w:val="en-US"/>
        </w:rPr>
        <w:t xml:space="preserve">aggressor gNB </w:t>
      </w:r>
      <w:r w:rsidR="00C26E30">
        <w:rPr>
          <w:lang w:val="en-US"/>
        </w:rPr>
        <w:t>DL interference is directed</w:t>
      </w:r>
      <w:r w:rsidR="000200B9">
        <w:rPr>
          <w:lang w:val="en-US"/>
        </w:rPr>
        <w:t xml:space="preserve"> to the same area as the victim UE.</w:t>
      </w:r>
      <w:r w:rsidR="00B172E3">
        <w:rPr>
          <w:lang w:val="en-US"/>
        </w:rPr>
        <w:t xml:space="preserve"> On top of that,</w:t>
      </w:r>
      <w:r w:rsidR="0000063C">
        <w:rPr>
          <w:lang w:val="en-US"/>
        </w:rPr>
        <w:t xml:space="preserve"> when SBFD is the aggressor, the effect of the UE-to-UE adjacent channel interference </w:t>
      </w:r>
      <w:r w:rsidR="00604DE7">
        <w:rPr>
          <w:lang w:val="en-US"/>
        </w:rPr>
        <w:t xml:space="preserve">between </w:t>
      </w:r>
      <w:r w:rsidR="0000063C">
        <w:rPr>
          <w:lang w:val="en-US"/>
        </w:rPr>
        <w:t xml:space="preserve">is also </w:t>
      </w:r>
      <w:r w:rsidR="00604DE7">
        <w:rPr>
          <w:lang w:val="en-US"/>
        </w:rPr>
        <w:t>relevant.</w:t>
      </w:r>
      <w:r w:rsidR="00900195" w:rsidRPr="005B4A37">
        <w:rPr>
          <w:lang w:val="en-US"/>
        </w:rPr>
        <w:t xml:space="preserve"> </w:t>
      </w:r>
      <w:r w:rsidR="00D901AE">
        <w:rPr>
          <w:lang w:val="en-US"/>
        </w:rPr>
        <w:t>The latter is the reason for the different between having TDD DL or SBFD as aggressor.</w:t>
      </w:r>
      <w:r w:rsidR="00462161">
        <w:rPr>
          <w:lang w:val="en-US"/>
        </w:rPr>
        <w:br/>
      </w:r>
    </w:p>
    <w:p w14:paraId="242C1B61" w14:textId="7A78FEDC" w:rsidR="00CE1E04" w:rsidRDefault="00462161" w:rsidP="00B334F7">
      <w:pPr>
        <w:jc w:val="center"/>
      </w:pPr>
      <w:r w:rsidRPr="00462161">
        <w:t xml:space="preserve"> </w:t>
      </w:r>
      <w:r w:rsidRPr="00462161">
        <w:rPr>
          <w:noProof/>
        </w:rPr>
        <w:drawing>
          <wp:inline distT="0" distB="0" distL="0" distR="0" wp14:anchorId="2FBBB1B4" wp14:editId="64F45369">
            <wp:extent cx="4686870" cy="3280151"/>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rotWithShape="1">
                    <a:blip r:embed="rId14">
                      <a:extLst>
                        <a:ext uri="{28A0092B-C50C-407E-A947-70E740481C1C}">
                          <a14:useLocalDpi xmlns:a14="http://schemas.microsoft.com/office/drawing/2010/main" val="0"/>
                        </a:ext>
                      </a:extLst>
                    </a:blip>
                    <a:srcRect l="7774" t="3428" r="6939" b="6554"/>
                    <a:stretch/>
                  </pic:blipFill>
                  <pic:spPr bwMode="auto">
                    <a:xfrm>
                      <a:off x="0" y="0"/>
                      <a:ext cx="4696472" cy="3286871"/>
                    </a:xfrm>
                    <a:prstGeom prst="rect">
                      <a:avLst/>
                    </a:prstGeom>
                    <a:noFill/>
                    <a:ln>
                      <a:noFill/>
                    </a:ln>
                    <a:extLst>
                      <a:ext uri="{53640926-AAD7-44D8-BBD7-CCE9431645EC}">
                        <a14:shadowObscured xmlns:a14="http://schemas.microsoft.com/office/drawing/2010/main"/>
                      </a:ext>
                    </a:extLst>
                  </pic:spPr>
                </pic:pic>
              </a:graphicData>
            </a:graphic>
          </wp:inline>
        </w:drawing>
      </w:r>
    </w:p>
    <w:p w14:paraId="2DD62F75" w14:textId="69FF5CE7" w:rsidR="00D47A25" w:rsidRPr="00B334F7" w:rsidRDefault="00CE1E04" w:rsidP="007722F2">
      <w:pPr>
        <w:pStyle w:val="Caption"/>
        <w:jc w:val="center"/>
      </w:pPr>
      <w:bookmarkStart w:id="5" w:name="_Ref146538996"/>
      <w:bookmarkStart w:id="6" w:name="_Ref146538992"/>
      <w:r>
        <w:t xml:space="preserve">Figure </w:t>
      </w:r>
      <w:r>
        <w:fldChar w:fldCharType="begin"/>
      </w:r>
      <w:r>
        <w:instrText xml:space="preserve"> SEQ Figure \* ARABIC </w:instrText>
      </w:r>
      <w:r>
        <w:fldChar w:fldCharType="separate"/>
      </w:r>
      <w:r w:rsidR="004D336C">
        <w:rPr>
          <w:noProof/>
        </w:rPr>
        <w:t>2</w:t>
      </w:r>
      <w:r>
        <w:fldChar w:fldCharType="end"/>
      </w:r>
      <w:bookmarkEnd w:id="5"/>
      <w:r>
        <w:t>. Comparison of DL SINR and DL throughput for Case 1 Urban Hotspot scenario</w:t>
      </w:r>
      <w:bookmarkEnd w:id="6"/>
    </w:p>
    <w:p w14:paraId="365C6C8C" w14:textId="1EE9298B" w:rsidR="00D901AE" w:rsidRDefault="00D901AE" w:rsidP="0092686E">
      <w:pPr>
        <w:rPr>
          <w:b/>
          <w:bCs/>
        </w:rPr>
      </w:pPr>
      <w:r>
        <w:fldChar w:fldCharType="begin"/>
      </w:r>
      <w:r>
        <w:instrText xml:space="preserve"> REF _Ref146538318 \h </w:instrText>
      </w:r>
      <w:r>
        <w:fldChar w:fldCharType="separate"/>
      </w:r>
      <w:r w:rsidR="004D336C">
        <w:t xml:space="preserve">Table </w:t>
      </w:r>
      <w:r w:rsidR="004D336C">
        <w:rPr>
          <w:noProof/>
        </w:rPr>
        <w:t>2</w:t>
      </w:r>
      <w:r>
        <w:fldChar w:fldCharType="end"/>
      </w:r>
      <w:r w:rsidR="00EE248C">
        <w:t xml:space="preserve"> </w:t>
      </w:r>
      <w:r>
        <w:t xml:space="preserve">shows the SINR and throughput degradation in dB and percentage, respectively. The throughput degradation values above 5% are highlighted with red to show the cases where the performance is not acceptable. Differently from </w:t>
      </w:r>
      <w:r>
        <w:lastRenderedPageBreak/>
        <w:t xml:space="preserve">the figure above, the table also shows the 10% grid offset case. The </w:t>
      </w:r>
      <w:r w:rsidR="005078E2">
        <w:t xml:space="preserve">10% </w:t>
      </w:r>
      <w:r>
        <w:t xml:space="preserve">grid offset </w:t>
      </w:r>
      <w:r w:rsidR="005078E2">
        <w:t xml:space="preserve">shows 1 dB higher degradation, which reflects the lower path-loss between </w:t>
      </w:r>
      <w:r w:rsidR="0015280C">
        <w:t>aggressor BS and victim UEs</w:t>
      </w:r>
      <w:r>
        <w:t xml:space="preserve">. </w:t>
      </w:r>
      <w:r w:rsidR="0063204B">
        <w:t xml:space="preserve">The main learning from the table is that UE-to-UE CLI becomes the bottleneck when UEs are in clusters and results in higher degradation than </w:t>
      </w:r>
      <w:r w:rsidR="00CE1197">
        <w:t xml:space="preserve">the case with uniformly distributed UEs. </w:t>
      </w:r>
    </w:p>
    <w:p w14:paraId="0F991F20" w14:textId="46940726" w:rsidR="00A27E9D" w:rsidRDefault="00A27E9D" w:rsidP="00B334F7">
      <w:pPr>
        <w:pStyle w:val="Caption"/>
        <w:keepNext/>
      </w:pPr>
      <w:bookmarkStart w:id="7" w:name="_Ref146538318"/>
      <w:bookmarkStart w:id="8" w:name="_Ref146538315"/>
      <w:r>
        <w:t xml:space="preserve">Table </w:t>
      </w:r>
      <w:r>
        <w:fldChar w:fldCharType="begin"/>
      </w:r>
      <w:r>
        <w:instrText xml:space="preserve"> SEQ Table \* ARABIC </w:instrText>
      </w:r>
      <w:r>
        <w:fldChar w:fldCharType="separate"/>
      </w:r>
      <w:r w:rsidR="004D336C">
        <w:rPr>
          <w:noProof/>
        </w:rPr>
        <w:t>2</w:t>
      </w:r>
      <w:r>
        <w:fldChar w:fldCharType="end"/>
      </w:r>
      <w:bookmarkEnd w:id="7"/>
      <w:r>
        <w:t>. Performance summary for Case 1 Urban Hotspot scenario</w:t>
      </w:r>
      <w:bookmarkEnd w:id="8"/>
    </w:p>
    <w:tbl>
      <w:tblPr>
        <w:tblW w:w="9478" w:type="dxa"/>
        <w:tblLook w:val="04A0" w:firstRow="1" w:lastRow="0" w:firstColumn="1" w:lastColumn="0" w:noHBand="0" w:noVBand="1"/>
      </w:tblPr>
      <w:tblGrid>
        <w:gridCol w:w="775"/>
        <w:gridCol w:w="910"/>
        <w:gridCol w:w="802"/>
        <w:gridCol w:w="1141"/>
        <w:gridCol w:w="802"/>
        <w:gridCol w:w="789"/>
        <w:gridCol w:w="910"/>
        <w:gridCol w:w="836"/>
        <w:gridCol w:w="832"/>
        <w:gridCol w:w="838"/>
        <w:gridCol w:w="830"/>
        <w:gridCol w:w="13"/>
        <w:tblGridChange w:id="9">
          <w:tblGrid>
            <w:gridCol w:w="775"/>
            <w:gridCol w:w="910"/>
            <w:gridCol w:w="802"/>
            <w:gridCol w:w="1141"/>
            <w:gridCol w:w="802"/>
            <w:gridCol w:w="789"/>
            <w:gridCol w:w="910"/>
            <w:gridCol w:w="836"/>
            <w:gridCol w:w="832"/>
            <w:gridCol w:w="838"/>
            <w:gridCol w:w="830"/>
            <w:gridCol w:w="13"/>
          </w:tblGrid>
        </w:tblGridChange>
      </w:tblGrid>
      <w:tr w:rsidR="004B4761" w:rsidRPr="004B4761" w14:paraId="45698B1C" w14:textId="77777777" w:rsidTr="004B4761">
        <w:trPr>
          <w:trHeight w:val="340"/>
        </w:trPr>
        <w:tc>
          <w:tcPr>
            <w:tcW w:w="9478"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286853F4"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2: FR1 Urban Hotspot</w:t>
            </w:r>
            <w:r w:rsidRPr="00B334F7">
              <w:rPr>
                <w:rFonts w:ascii="Times New Roman" w:eastAsia="Times New Roman" w:hAnsi="Times New Roman" w:cs="Times New Roman"/>
                <w:b/>
                <w:bCs/>
                <w:sz w:val="16"/>
                <w:szCs w:val="16"/>
                <w:lang w:val="en-US"/>
              </w:rPr>
              <w:br/>
              <w:t>Case 1: TDD DL as victim</w:t>
            </w:r>
          </w:p>
        </w:tc>
      </w:tr>
      <w:tr w:rsidR="004B4761" w:rsidRPr="004B4761" w14:paraId="424993A8" w14:textId="77777777" w:rsidTr="004B4761">
        <w:trPr>
          <w:gridAfter w:val="1"/>
          <w:wAfter w:w="14" w:type="dxa"/>
          <w:trHeight w:val="323"/>
        </w:trPr>
        <w:tc>
          <w:tcPr>
            <w:tcW w:w="832" w:type="dxa"/>
            <w:vMerge w:val="restart"/>
            <w:tcBorders>
              <w:top w:val="nil"/>
              <w:left w:val="single" w:sz="4" w:space="0" w:color="auto"/>
              <w:bottom w:val="single" w:sz="4" w:space="0" w:color="000000"/>
              <w:right w:val="single" w:sz="4" w:space="0" w:color="auto"/>
            </w:tcBorders>
            <w:shd w:val="clear" w:color="auto" w:fill="auto"/>
            <w:vAlign w:val="center"/>
            <w:hideMark/>
          </w:tcPr>
          <w:p w14:paraId="7D0A9858"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858" w:type="dxa"/>
            <w:vMerge w:val="restart"/>
            <w:tcBorders>
              <w:top w:val="nil"/>
              <w:left w:val="single" w:sz="4" w:space="0" w:color="auto"/>
              <w:bottom w:val="single" w:sz="4" w:space="0" w:color="000000"/>
              <w:right w:val="single" w:sz="4" w:space="0" w:color="auto"/>
            </w:tcBorders>
            <w:shd w:val="clear" w:color="auto" w:fill="auto"/>
            <w:vAlign w:val="center"/>
            <w:hideMark/>
          </w:tcPr>
          <w:p w14:paraId="1A836CBF"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39" w:type="dxa"/>
            <w:vMerge w:val="restart"/>
            <w:tcBorders>
              <w:top w:val="nil"/>
              <w:left w:val="single" w:sz="4" w:space="0" w:color="auto"/>
              <w:bottom w:val="single" w:sz="4" w:space="0" w:color="000000"/>
              <w:right w:val="single" w:sz="4" w:space="0" w:color="auto"/>
            </w:tcBorders>
            <w:shd w:val="clear" w:color="auto" w:fill="auto"/>
            <w:vAlign w:val="center"/>
            <w:hideMark/>
          </w:tcPr>
          <w:p w14:paraId="3EEF89C5"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066" w:type="dxa"/>
            <w:vMerge w:val="restart"/>
            <w:tcBorders>
              <w:top w:val="nil"/>
              <w:left w:val="single" w:sz="4" w:space="0" w:color="auto"/>
              <w:bottom w:val="single" w:sz="4" w:space="0" w:color="000000"/>
              <w:right w:val="single" w:sz="4" w:space="0" w:color="auto"/>
            </w:tcBorders>
            <w:shd w:val="clear" w:color="auto" w:fill="auto"/>
            <w:vAlign w:val="center"/>
            <w:hideMark/>
          </w:tcPr>
          <w:p w14:paraId="06850EC1"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39" w:type="dxa"/>
            <w:vMerge w:val="restart"/>
            <w:tcBorders>
              <w:top w:val="nil"/>
              <w:left w:val="single" w:sz="4" w:space="0" w:color="auto"/>
              <w:bottom w:val="single" w:sz="4" w:space="0" w:color="000000"/>
              <w:right w:val="single" w:sz="4" w:space="0" w:color="auto"/>
            </w:tcBorders>
            <w:shd w:val="clear" w:color="auto" w:fill="auto"/>
            <w:vAlign w:val="center"/>
            <w:hideMark/>
          </w:tcPr>
          <w:p w14:paraId="3993C0D4"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36" w:type="dxa"/>
            <w:vMerge w:val="restart"/>
            <w:tcBorders>
              <w:top w:val="nil"/>
              <w:left w:val="single" w:sz="4" w:space="0" w:color="auto"/>
              <w:bottom w:val="single" w:sz="4" w:space="0" w:color="000000"/>
              <w:right w:val="single" w:sz="4" w:space="0" w:color="auto"/>
            </w:tcBorders>
            <w:shd w:val="clear" w:color="auto" w:fill="auto"/>
            <w:vAlign w:val="center"/>
            <w:hideMark/>
          </w:tcPr>
          <w:p w14:paraId="74596020"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858" w:type="dxa"/>
            <w:vMerge w:val="restart"/>
            <w:tcBorders>
              <w:top w:val="nil"/>
              <w:left w:val="single" w:sz="4" w:space="0" w:color="auto"/>
              <w:bottom w:val="single" w:sz="4" w:space="0" w:color="000000"/>
              <w:right w:val="single" w:sz="4" w:space="0" w:color="auto"/>
            </w:tcBorders>
            <w:shd w:val="clear" w:color="auto" w:fill="auto"/>
            <w:vAlign w:val="center"/>
            <w:hideMark/>
          </w:tcPr>
          <w:p w14:paraId="23C9A709"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166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A19BE0B"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66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89C6133"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4B4761" w:rsidRPr="004B4761" w14:paraId="7092C830" w14:textId="77777777" w:rsidTr="004B4761">
        <w:trPr>
          <w:gridAfter w:val="1"/>
          <w:wAfter w:w="14" w:type="dxa"/>
          <w:trHeight w:val="323"/>
        </w:trPr>
        <w:tc>
          <w:tcPr>
            <w:tcW w:w="832" w:type="dxa"/>
            <w:vMerge/>
            <w:tcBorders>
              <w:top w:val="nil"/>
              <w:left w:val="single" w:sz="4" w:space="0" w:color="auto"/>
              <w:bottom w:val="single" w:sz="4" w:space="0" w:color="000000"/>
              <w:right w:val="single" w:sz="4" w:space="0" w:color="auto"/>
            </w:tcBorders>
            <w:vAlign w:val="center"/>
            <w:hideMark/>
          </w:tcPr>
          <w:p w14:paraId="1BB25B5E"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58" w:type="dxa"/>
            <w:vMerge/>
            <w:tcBorders>
              <w:top w:val="nil"/>
              <w:left w:val="single" w:sz="4" w:space="0" w:color="auto"/>
              <w:bottom w:val="single" w:sz="4" w:space="0" w:color="000000"/>
              <w:right w:val="single" w:sz="4" w:space="0" w:color="auto"/>
            </w:tcBorders>
            <w:vAlign w:val="center"/>
            <w:hideMark/>
          </w:tcPr>
          <w:p w14:paraId="2467D5A1"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39" w:type="dxa"/>
            <w:vMerge/>
            <w:tcBorders>
              <w:top w:val="nil"/>
              <w:left w:val="single" w:sz="4" w:space="0" w:color="auto"/>
              <w:bottom w:val="single" w:sz="4" w:space="0" w:color="000000"/>
              <w:right w:val="single" w:sz="4" w:space="0" w:color="auto"/>
            </w:tcBorders>
            <w:vAlign w:val="center"/>
            <w:hideMark/>
          </w:tcPr>
          <w:p w14:paraId="3E7B48F8"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066" w:type="dxa"/>
            <w:vMerge/>
            <w:tcBorders>
              <w:top w:val="nil"/>
              <w:left w:val="single" w:sz="4" w:space="0" w:color="auto"/>
              <w:bottom w:val="single" w:sz="4" w:space="0" w:color="000000"/>
              <w:right w:val="single" w:sz="4" w:space="0" w:color="auto"/>
            </w:tcBorders>
            <w:vAlign w:val="center"/>
            <w:hideMark/>
          </w:tcPr>
          <w:p w14:paraId="1AAB36E0"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39" w:type="dxa"/>
            <w:vMerge/>
            <w:tcBorders>
              <w:top w:val="nil"/>
              <w:left w:val="single" w:sz="4" w:space="0" w:color="auto"/>
              <w:bottom w:val="single" w:sz="4" w:space="0" w:color="000000"/>
              <w:right w:val="single" w:sz="4" w:space="0" w:color="auto"/>
            </w:tcBorders>
            <w:vAlign w:val="center"/>
            <w:hideMark/>
          </w:tcPr>
          <w:p w14:paraId="3564EE9E"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36" w:type="dxa"/>
            <w:vMerge/>
            <w:tcBorders>
              <w:top w:val="nil"/>
              <w:left w:val="single" w:sz="4" w:space="0" w:color="auto"/>
              <w:bottom w:val="single" w:sz="4" w:space="0" w:color="000000"/>
              <w:right w:val="single" w:sz="4" w:space="0" w:color="auto"/>
            </w:tcBorders>
            <w:vAlign w:val="center"/>
            <w:hideMark/>
          </w:tcPr>
          <w:p w14:paraId="7C22E28F"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58" w:type="dxa"/>
            <w:vMerge/>
            <w:tcBorders>
              <w:top w:val="nil"/>
              <w:left w:val="single" w:sz="4" w:space="0" w:color="auto"/>
              <w:bottom w:val="single" w:sz="4" w:space="0" w:color="000000"/>
              <w:right w:val="single" w:sz="4" w:space="0" w:color="auto"/>
            </w:tcBorders>
            <w:vAlign w:val="center"/>
            <w:hideMark/>
          </w:tcPr>
          <w:p w14:paraId="615A8CDF"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668" w:type="dxa"/>
            <w:gridSpan w:val="2"/>
            <w:vMerge/>
            <w:tcBorders>
              <w:top w:val="single" w:sz="4" w:space="0" w:color="auto"/>
              <w:left w:val="single" w:sz="4" w:space="0" w:color="auto"/>
              <w:bottom w:val="single" w:sz="4" w:space="0" w:color="000000"/>
              <w:right w:val="single" w:sz="4" w:space="0" w:color="000000"/>
            </w:tcBorders>
            <w:vAlign w:val="center"/>
            <w:hideMark/>
          </w:tcPr>
          <w:p w14:paraId="69DB29D7"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668" w:type="dxa"/>
            <w:gridSpan w:val="2"/>
            <w:vMerge/>
            <w:tcBorders>
              <w:top w:val="single" w:sz="4" w:space="0" w:color="auto"/>
              <w:left w:val="single" w:sz="4" w:space="0" w:color="auto"/>
              <w:bottom w:val="single" w:sz="4" w:space="0" w:color="000000"/>
              <w:right w:val="single" w:sz="4" w:space="0" w:color="000000"/>
            </w:tcBorders>
            <w:vAlign w:val="center"/>
            <w:hideMark/>
          </w:tcPr>
          <w:p w14:paraId="17E10D5A"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4B4761" w:rsidRPr="004B4761" w14:paraId="42A4BA7A" w14:textId="77777777" w:rsidTr="004B4761">
        <w:trPr>
          <w:gridAfter w:val="1"/>
          <w:wAfter w:w="15" w:type="dxa"/>
          <w:trHeight w:val="323"/>
        </w:trPr>
        <w:tc>
          <w:tcPr>
            <w:tcW w:w="832" w:type="dxa"/>
            <w:vMerge/>
            <w:tcBorders>
              <w:top w:val="nil"/>
              <w:left w:val="single" w:sz="4" w:space="0" w:color="auto"/>
              <w:bottom w:val="single" w:sz="4" w:space="0" w:color="000000"/>
              <w:right w:val="single" w:sz="4" w:space="0" w:color="auto"/>
            </w:tcBorders>
            <w:vAlign w:val="center"/>
            <w:hideMark/>
          </w:tcPr>
          <w:p w14:paraId="4A16CAF4"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58" w:type="dxa"/>
            <w:vMerge/>
            <w:tcBorders>
              <w:top w:val="nil"/>
              <w:left w:val="single" w:sz="4" w:space="0" w:color="auto"/>
              <w:bottom w:val="single" w:sz="4" w:space="0" w:color="000000"/>
              <w:right w:val="single" w:sz="4" w:space="0" w:color="auto"/>
            </w:tcBorders>
            <w:vAlign w:val="center"/>
            <w:hideMark/>
          </w:tcPr>
          <w:p w14:paraId="6774D3AC"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39" w:type="dxa"/>
            <w:vMerge/>
            <w:tcBorders>
              <w:top w:val="nil"/>
              <w:left w:val="single" w:sz="4" w:space="0" w:color="auto"/>
              <w:bottom w:val="single" w:sz="4" w:space="0" w:color="000000"/>
              <w:right w:val="single" w:sz="4" w:space="0" w:color="auto"/>
            </w:tcBorders>
            <w:vAlign w:val="center"/>
            <w:hideMark/>
          </w:tcPr>
          <w:p w14:paraId="07E94FF2"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066" w:type="dxa"/>
            <w:vMerge/>
            <w:tcBorders>
              <w:top w:val="nil"/>
              <w:left w:val="single" w:sz="4" w:space="0" w:color="auto"/>
              <w:bottom w:val="single" w:sz="4" w:space="0" w:color="000000"/>
              <w:right w:val="single" w:sz="4" w:space="0" w:color="auto"/>
            </w:tcBorders>
            <w:vAlign w:val="center"/>
            <w:hideMark/>
          </w:tcPr>
          <w:p w14:paraId="1CAC9DF4"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39" w:type="dxa"/>
            <w:vMerge/>
            <w:tcBorders>
              <w:top w:val="nil"/>
              <w:left w:val="single" w:sz="4" w:space="0" w:color="auto"/>
              <w:bottom w:val="single" w:sz="4" w:space="0" w:color="000000"/>
              <w:right w:val="single" w:sz="4" w:space="0" w:color="auto"/>
            </w:tcBorders>
            <w:vAlign w:val="center"/>
            <w:hideMark/>
          </w:tcPr>
          <w:p w14:paraId="25346578"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36" w:type="dxa"/>
            <w:vMerge/>
            <w:tcBorders>
              <w:top w:val="nil"/>
              <w:left w:val="single" w:sz="4" w:space="0" w:color="auto"/>
              <w:bottom w:val="single" w:sz="4" w:space="0" w:color="000000"/>
              <w:right w:val="single" w:sz="4" w:space="0" w:color="auto"/>
            </w:tcBorders>
            <w:vAlign w:val="center"/>
            <w:hideMark/>
          </w:tcPr>
          <w:p w14:paraId="66257F8A"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58" w:type="dxa"/>
            <w:vMerge/>
            <w:tcBorders>
              <w:top w:val="nil"/>
              <w:left w:val="single" w:sz="4" w:space="0" w:color="auto"/>
              <w:bottom w:val="single" w:sz="4" w:space="0" w:color="000000"/>
              <w:right w:val="single" w:sz="4" w:space="0" w:color="auto"/>
            </w:tcBorders>
            <w:vAlign w:val="center"/>
            <w:hideMark/>
          </w:tcPr>
          <w:p w14:paraId="479AADE5"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36" w:type="dxa"/>
            <w:tcBorders>
              <w:top w:val="nil"/>
              <w:left w:val="nil"/>
              <w:bottom w:val="single" w:sz="4" w:space="0" w:color="auto"/>
              <w:right w:val="single" w:sz="4" w:space="0" w:color="auto"/>
            </w:tcBorders>
            <w:shd w:val="clear" w:color="auto" w:fill="auto"/>
            <w:vAlign w:val="center"/>
            <w:hideMark/>
          </w:tcPr>
          <w:p w14:paraId="140DFF17"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32" w:type="dxa"/>
            <w:tcBorders>
              <w:top w:val="nil"/>
              <w:left w:val="nil"/>
              <w:bottom w:val="single" w:sz="4" w:space="0" w:color="auto"/>
              <w:right w:val="single" w:sz="4" w:space="0" w:color="auto"/>
            </w:tcBorders>
            <w:shd w:val="clear" w:color="auto" w:fill="auto"/>
            <w:vAlign w:val="center"/>
            <w:hideMark/>
          </w:tcPr>
          <w:p w14:paraId="77FFC11C"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38" w:type="dxa"/>
            <w:tcBorders>
              <w:top w:val="nil"/>
              <w:left w:val="nil"/>
              <w:bottom w:val="single" w:sz="4" w:space="0" w:color="auto"/>
              <w:right w:val="single" w:sz="4" w:space="0" w:color="auto"/>
            </w:tcBorders>
            <w:shd w:val="clear" w:color="auto" w:fill="auto"/>
            <w:vAlign w:val="center"/>
            <w:hideMark/>
          </w:tcPr>
          <w:p w14:paraId="29A0525F"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29" w:type="dxa"/>
            <w:tcBorders>
              <w:top w:val="nil"/>
              <w:left w:val="nil"/>
              <w:bottom w:val="single" w:sz="4" w:space="0" w:color="auto"/>
              <w:right w:val="single" w:sz="4" w:space="0" w:color="auto"/>
            </w:tcBorders>
            <w:shd w:val="clear" w:color="auto" w:fill="auto"/>
            <w:vAlign w:val="center"/>
            <w:hideMark/>
          </w:tcPr>
          <w:p w14:paraId="0684E274"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4B4761" w:rsidRPr="004B4761" w14:paraId="18A62368" w14:textId="77777777" w:rsidTr="004B4761">
        <w:trPr>
          <w:gridAfter w:val="1"/>
          <w:wAfter w:w="15" w:type="dxa"/>
          <w:trHeight w:val="323"/>
        </w:trPr>
        <w:tc>
          <w:tcPr>
            <w:tcW w:w="832" w:type="dxa"/>
            <w:tcBorders>
              <w:top w:val="nil"/>
              <w:left w:val="single" w:sz="4" w:space="0" w:color="auto"/>
              <w:bottom w:val="single" w:sz="4" w:space="0" w:color="auto"/>
              <w:right w:val="single" w:sz="4" w:space="0" w:color="auto"/>
            </w:tcBorders>
            <w:shd w:val="clear" w:color="auto" w:fill="auto"/>
            <w:vAlign w:val="center"/>
            <w:hideMark/>
          </w:tcPr>
          <w:p w14:paraId="4492B309"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858" w:type="dxa"/>
            <w:vMerge w:val="restart"/>
            <w:tcBorders>
              <w:top w:val="nil"/>
              <w:left w:val="single" w:sz="4" w:space="0" w:color="auto"/>
              <w:bottom w:val="single" w:sz="4" w:space="0" w:color="000000"/>
              <w:right w:val="single" w:sz="4" w:space="0" w:color="auto"/>
            </w:tcBorders>
            <w:shd w:val="clear" w:color="auto" w:fill="auto"/>
            <w:vAlign w:val="center"/>
            <w:hideMark/>
          </w:tcPr>
          <w:p w14:paraId="4AEB3C82"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DL</w:t>
            </w:r>
          </w:p>
        </w:tc>
        <w:tc>
          <w:tcPr>
            <w:tcW w:w="839" w:type="dxa"/>
            <w:vMerge w:val="restart"/>
            <w:tcBorders>
              <w:top w:val="nil"/>
              <w:left w:val="single" w:sz="4" w:space="0" w:color="auto"/>
              <w:bottom w:val="single" w:sz="4" w:space="0" w:color="000000"/>
              <w:right w:val="single" w:sz="4" w:space="0" w:color="auto"/>
            </w:tcBorders>
            <w:shd w:val="clear" w:color="auto" w:fill="auto"/>
            <w:vAlign w:val="center"/>
            <w:hideMark/>
          </w:tcPr>
          <w:p w14:paraId="3D7D11B5"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DL</w:t>
            </w:r>
          </w:p>
        </w:tc>
        <w:tc>
          <w:tcPr>
            <w:tcW w:w="1066" w:type="dxa"/>
            <w:tcBorders>
              <w:top w:val="nil"/>
              <w:left w:val="nil"/>
              <w:bottom w:val="single" w:sz="4" w:space="0" w:color="auto"/>
              <w:right w:val="single" w:sz="4" w:space="0" w:color="auto"/>
            </w:tcBorders>
            <w:shd w:val="clear" w:color="auto" w:fill="auto"/>
            <w:vAlign w:val="center"/>
            <w:hideMark/>
          </w:tcPr>
          <w:p w14:paraId="021D155D"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39" w:type="dxa"/>
            <w:vMerge w:val="restart"/>
            <w:tcBorders>
              <w:top w:val="nil"/>
              <w:left w:val="single" w:sz="4" w:space="0" w:color="auto"/>
              <w:bottom w:val="single" w:sz="4" w:space="0" w:color="000000"/>
              <w:right w:val="single" w:sz="4" w:space="0" w:color="auto"/>
            </w:tcBorders>
            <w:shd w:val="clear" w:color="auto" w:fill="auto"/>
            <w:vAlign w:val="center"/>
            <w:hideMark/>
          </w:tcPr>
          <w:p w14:paraId="30C944A3"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TDD: 53 dBm</w:t>
            </w:r>
          </w:p>
        </w:tc>
        <w:tc>
          <w:tcPr>
            <w:tcW w:w="836" w:type="dxa"/>
            <w:vMerge w:val="restart"/>
            <w:tcBorders>
              <w:top w:val="nil"/>
              <w:left w:val="single" w:sz="4" w:space="0" w:color="auto"/>
              <w:bottom w:val="single" w:sz="4" w:space="0" w:color="000000"/>
              <w:right w:val="single" w:sz="4" w:space="0" w:color="auto"/>
            </w:tcBorders>
            <w:shd w:val="clear" w:color="auto" w:fill="auto"/>
            <w:vAlign w:val="center"/>
            <w:hideMark/>
          </w:tcPr>
          <w:p w14:paraId="345AEF5E"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58" w:type="dxa"/>
            <w:vMerge w:val="restart"/>
            <w:tcBorders>
              <w:top w:val="nil"/>
              <w:left w:val="single" w:sz="4" w:space="0" w:color="auto"/>
              <w:bottom w:val="single" w:sz="4" w:space="0" w:color="000000"/>
              <w:right w:val="single" w:sz="4" w:space="0" w:color="auto"/>
            </w:tcBorders>
            <w:shd w:val="clear" w:color="auto" w:fill="auto"/>
            <w:vAlign w:val="center"/>
            <w:hideMark/>
          </w:tcPr>
          <w:p w14:paraId="1F9DC4F0"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TDD: 53 dBm</w:t>
            </w:r>
          </w:p>
        </w:tc>
        <w:tc>
          <w:tcPr>
            <w:tcW w:w="836" w:type="dxa"/>
            <w:tcBorders>
              <w:top w:val="nil"/>
              <w:left w:val="nil"/>
              <w:bottom w:val="single" w:sz="4" w:space="0" w:color="auto"/>
              <w:right w:val="single" w:sz="4" w:space="0" w:color="auto"/>
            </w:tcBorders>
            <w:shd w:val="clear" w:color="auto" w:fill="auto"/>
            <w:noWrap/>
            <w:vAlign w:val="center"/>
            <w:hideMark/>
          </w:tcPr>
          <w:p w14:paraId="0298F239"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2.01</w:t>
            </w:r>
          </w:p>
        </w:tc>
        <w:tc>
          <w:tcPr>
            <w:tcW w:w="832" w:type="dxa"/>
            <w:tcBorders>
              <w:top w:val="nil"/>
              <w:left w:val="nil"/>
              <w:bottom w:val="single" w:sz="4" w:space="0" w:color="auto"/>
              <w:right w:val="single" w:sz="4" w:space="0" w:color="auto"/>
            </w:tcBorders>
            <w:shd w:val="clear" w:color="auto" w:fill="auto"/>
            <w:noWrap/>
            <w:vAlign w:val="center"/>
            <w:hideMark/>
          </w:tcPr>
          <w:p w14:paraId="40912FAD"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1.08</w:t>
            </w:r>
          </w:p>
        </w:tc>
        <w:tc>
          <w:tcPr>
            <w:tcW w:w="83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CDED7D1"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21.4</w:t>
            </w:r>
          </w:p>
        </w:tc>
        <w:tc>
          <w:tcPr>
            <w:tcW w:w="829" w:type="dxa"/>
            <w:tcBorders>
              <w:top w:val="nil"/>
              <w:left w:val="nil"/>
              <w:bottom w:val="single" w:sz="4" w:space="0" w:color="auto"/>
              <w:right w:val="single" w:sz="4" w:space="0" w:color="auto"/>
            </w:tcBorders>
            <w:shd w:val="clear" w:color="auto" w:fill="auto"/>
            <w:noWrap/>
            <w:vAlign w:val="center"/>
            <w:hideMark/>
          </w:tcPr>
          <w:p w14:paraId="2C0A40D9"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3.98</w:t>
            </w:r>
          </w:p>
        </w:tc>
      </w:tr>
      <w:tr w:rsidR="004B4761" w:rsidRPr="004B4761" w14:paraId="247952CB" w14:textId="77777777" w:rsidTr="004B4761">
        <w:trPr>
          <w:gridAfter w:val="1"/>
          <w:wAfter w:w="15" w:type="dxa"/>
          <w:trHeight w:val="323"/>
        </w:trPr>
        <w:tc>
          <w:tcPr>
            <w:tcW w:w="832" w:type="dxa"/>
            <w:tcBorders>
              <w:top w:val="nil"/>
              <w:left w:val="single" w:sz="4" w:space="0" w:color="auto"/>
              <w:bottom w:val="single" w:sz="4" w:space="0" w:color="auto"/>
              <w:right w:val="single" w:sz="4" w:space="0" w:color="auto"/>
            </w:tcBorders>
            <w:shd w:val="clear" w:color="auto" w:fill="auto"/>
            <w:vAlign w:val="center"/>
            <w:hideMark/>
          </w:tcPr>
          <w:p w14:paraId="38A8FD69"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858" w:type="dxa"/>
            <w:vMerge/>
            <w:tcBorders>
              <w:top w:val="nil"/>
              <w:left w:val="single" w:sz="4" w:space="0" w:color="auto"/>
              <w:bottom w:val="single" w:sz="4" w:space="0" w:color="000000"/>
              <w:right w:val="single" w:sz="4" w:space="0" w:color="auto"/>
            </w:tcBorders>
            <w:vAlign w:val="center"/>
            <w:hideMark/>
          </w:tcPr>
          <w:p w14:paraId="460E7A90"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9" w:type="dxa"/>
            <w:vMerge/>
            <w:tcBorders>
              <w:top w:val="nil"/>
              <w:left w:val="single" w:sz="4" w:space="0" w:color="auto"/>
              <w:bottom w:val="single" w:sz="4" w:space="0" w:color="000000"/>
              <w:right w:val="single" w:sz="4" w:space="0" w:color="auto"/>
            </w:tcBorders>
            <w:vAlign w:val="center"/>
            <w:hideMark/>
          </w:tcPr>
          <w:p w14:paraId="3480C2DA"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66" w:type="dxa"/>
            <w:tcBorders>
              <w:top w:val="nil"/>
              <w:left w:val="nil"/>
              <w:bottom w:val="single" w:sz="4" w:space="0" w:color="auto"/>
              <w:right w:val="single" w:sz="4" w:space="0" w:color="auto"/>
            </w:tcBorders>
            <w:shd w:val="clear" w:color="auto" w:fill="auto"/>
            <w:vAlign w:val="center"/>
            <w:hideMark/>
          </w:tcPr>
          <w:p w14:paraId="4ABFE52F"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39" w:type="dxa"/>
            <w:vMerge/>
            <w:tcBorders>
              <w:top w:val="nil"/>
              <w:left w:val="single" w:sz="4" w:space="0" w:color="auto"/>
              <w:bottom w:val="single" w:sz="4" w:space="0" w:color="000000"/>
              <w:right w:val="single" w:sz="4" w:space="0" w:color="auto"/>
            </w:tcBorders>
            <w:vAlign w:val="center"/>
            <w:hideMark/>
          </w:tcPr>
          <w:p w14:paraId="3EC81A8F"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6" w:type="dxa"/>
            <w:vMerge/>
            <w:tcBorders>
              <w:top w:val="nil"/>
              <w:left w:val="single" w:sz="4" w:space="0" w:color="auto"/>
              <w:bottom w:val="single" w:sz="4" w:space="0" w:color="000000"/>
              <w:right w:val="single" w:sz="4" w:space="0" w:color="auto"/>
            </w:tcBorders>
            <w:vAlign w:val="center"/>
            <w:hideMark/>
          </w:tcPr>
          <w:p w14:paraId="1DAFBBAA"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8" w:type="dxa"/>
            <w:vMerge/>
            <w:tcBorders>
              <w:top w:val="nil"/>
              <w:left w:val="single" w:sz="4" w:space="0" w:color="auto"/>
              <w:bottom w:val="single" w:sz="4" w:space="0" w:color="000000"/>
              <w:right w:val="single" w:sz="4" w:space="0" w:color="auto"/>
            </w:tcBorders>
            <w:vAlign w:val="center"/>
            <w:hideMark/>
          </w:tcPr>
          <w:p w14:paraId="79BF28D1"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6" w:type="dxa"/>
            <w:tcBorders>
              <w:top w:val="nil"/>
              <w:left w:val="nil"/>
              <w:bottom w:val="single" w:sz="4" w:space="0" w:color="auto"/>
              <w:right w:val="single" w:sz="4" w:space="0" w:color="auto"/>
            </w:tcBorders>
            <w:shd w:val="clear" w:color="auto" w:fill="auto"/>
            <w:noWrap/>
            <w:vAlign w:val="center"/>
            <w:hideMark/>
          </w:tcPr>
          <w:p w14:paraId="358DE5BE"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0.82</w:t>
            </w:r>
          </w:p>
        </w:tc>
        <w:tc>
          <w:tcPr>
            <w:tcW w:w="832" w:type="dxa"/>
            <w:tcBorders>
              <w:top w:val="nil"/>
              <w:left w:val="nil"/>
              <w:bottom w:val="single" w:sz="4" w:space="0" w:color="auto"/>
              <w:right w:val="single" w:sz="4" w:space="0" w:color="auto"/>
            </w:tcBorders>
            <w:shd w:val="clear" w:color="auto" w:fill="auto"/>
            <w:noWrap/>
            <w:vAlign w:val="center"/>
            <w:hideMark/>
          </w:tcPr>
          <w:p w14:paraId="1FB381C4"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0.54</w:t>
            </w:r>
          </w:p>
        </w:tc>
        <w:tc>
          <w:tcPr>
            <w:tcW w:w="83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4860A94"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9.07</w:t>
            </w:r>
          </w:p>
        </w:tc>
        <w:tc>
          <w:tcPr>
            <w:tcW w:w="829" w:type="dxa"/>
            <w:tcBorders>
              <w:top w:val="nil"/>
              <w:left w:val="nil"/>
              <w:bottom w:val="single" w:sz="4" w:space="0" w:color="auto"/>
              <w:right w:val="single" w:sz="4" w:space="0" w:color="auto"/>
            </w:tcBorders>
            <w:shd w:val="clear" w:color="auto" w:fill="auto"/>
            <w:noWrap/>
            <w:vAlign w:val="center"/>
            <w:hideMark/>
          </w:tcPr>
          <w:p w14:paraId="6550A974"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2.32</w:t>
            </w:r>
          </w:p>
        </w:tc>
      </w:tr>
      <w:tr w:rsidR="004B4761" w:rsidRPr="004B4761" w14:paraId="11CADC90" w14:textId="77777777" w:rsidTr="004B4761">
        <w:trPr>
          <w:gridAfter w:val="1"/>
          <w:wAfter w:w="15" w:type="dxa"/>
          <w:trHeight w:val="828"/>
        </w:trPr>
        <w:tc>
          <w:tcPr>
            <w:tcW w:w="832" w:type="dxa"/>
            <w:tcBorders>
              <w:top w:val="nil"/>
              <w:left w:val="single" w:sz="4" w:space="0" w:color="auto"/>
              <w:bottom w:val="single" w:sz="4" w:space="0" w:color="auto"/>
              <w:right w:val="single" w:sz="4" w:space="0" w:color="auto"/>
            </w:tcBorders>
            <w:shd w:val="clear" w:color="auto" w:fill="auto"/>
            <w:vAlign w:val="center"/>
            <w:hideMark/>
          </w:tcPr>
          <w:p w14:paraId="5D6A0338"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858" w:type="dxa"/>
            <w:vMerge w:val="restart"/>
            <w:tcBorders>
              <w:top w:val="nil"/>
              <w:left w:val="single" w:sz="4" w:space="0" w:color="auto"/>
              <w:bottom w:val="single" w:sz="4" w:space="0" w:color="000000"/>
              <w:right w:val="single" w:sz="4" w:space="0" w:color="auto"/>
            </w:tcBorders>
            <w:shd w:val="clear" w:color="auto" w:fill="auto"/>
            <w:vAlign w:val="center"/>
            <w:hideMark/>
          </w:tcPr>
          <w:p w14:paraId="470A7481"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w:t>
            </w:r>
          </w:p>
        </w:tc>
        <w:tc>
          <w:tcPr>
            <w:tcW w:w="839" w:type="dxa"/>
            <w:vMerge/>
            <w:tcBorders>
              <w:top w:val="nil"/>
              <w:left w:val="single" w:sz="4" w:space="0" w:color="auto"/>
              <w:bottom w:val="single" w:sz="4" w:space="0" w:color="000000"/>
              <w:right w:val="single" w:sz="4" w:space="0" w:color="auto"/>
            </w:tcBorders>
            <w:vAlign w:val="center"/>
            <w:hideMark/>
          </w:tcPr>
          <w:p w14:paraId="772447AF"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66" w:type="dxa"/>
            <w:tcBorders>
              <w:top w:val="nil"/>
              <w:left w:val="nil"/>
              <w:bottom w:val="single" w:sz="4" w:space="0" w:color="auto"/>
              <w:right w:val="single" w:sz="4" w:space="0" w:color="auto"/>
            </w:tcBorders>
            <w:shd w:val="clear" w:color="auto" w:fill="auto"/>
            <w:vAlign w:val="center"/>
            <w:hideMark/>
          </w:tcPr>
          <w:p w14:paraId="45DF0813"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39" w:type="dxa"/>
            <w:vMerge/>
            <w:tcBorders>
              <w:top w:val="nil"/>
              <w:left w:val="single" w:sz="4" w:space="0" w:color="auto"/>
              <w:bottom w:val="single" w:sz="4" w:space="0" w:color="000000"/>
              <w:right w:val="single" w:sz="4" w:space="0" w:color="auto"/>
            </w:tcBorders>
            <w:vAlign w:val="center"/>
            <w:hideMark/>
          </w:tcPr>
          <w:p w14:paraId="1845925A"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6" w:type="dxa"/>
            <w:vMerge/>
            <w:tcBorders>
              <w:top w:val="nil"/>
              <w:left w:val="single" w:sz="4" w:space="0" w:color="auto"/>
              <w:bottom w:val="single" w:sz="4" w:space="0" w:color="000000"/>
              <w:right w:val="single" w:sz="4" w:space="0" w:color="auto"/>
            </w:tcBorders>
            <w:vAlign w:val="center"/>
            <w:hideMark/>
          </w:tcPr>
          <w:p w14:paraId="400C4B2E"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8" w:type="dxa"/>
            <w:vMerge w:val="restart"/>
            <w:tcBorders>
              <w:top w:val="nil"/>
              <w:left w:val="single" w:sz="4" w:space="0" w:color="auto"/>
              <w:bottom w:val="single" w:sz="4" w:space="0" w:color="000000"/>
              <w:right w:val="single" w:sz="4" w:space="0" w:color="auto"/>
            </w:tcBorders>
            <w:shd w:val="clear" w:color="auto" w:fill="auto"/>
            <w:vAlign w:val="center"/>
            <w:hideMark/>
          </w:tcPr>
          <w:p w14:paraId="32ACFE4D"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50 dBm</w:t>
            </w:r>
          </w:p>
        </w:tc>
        <w:tc>
          <w:tcPr>
            <w:tcW w:w="836" w:type="dxa"/>
            <w:tcBorders>
              <w:top w:val="nil"/>
              <w:left w:val="nil"/>
              <w:bottom w:val="single" w:sz="4" w:space="0" w:color="auto"/>
              <w:right w:val="single" w:sz="4" w:space="0" w:color="auto"/>
            </w:tcBorders>
            <w:shd w:val="clear" w:color="auto" w:fill="auto"/>
            <w:noWrap/>
            <w:vAlign w:val="center"/>
            <w:hideMark/>
          </w:tcPr>
          <w:p w14:paraId="31A49A9A"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4.26</w:t>
            </w:r>
          </w:p>
        </w:tc>
        <w:tc>
          <w:tcPr>
            <w:tcW w:w="832" w:type="dxa"/>
            <w:tcBorders>
              <w:top w:val="nil"/>
              <w:left w:val="nil"/>
              <w:bottom w:val="single" w:sz="4" w:space="0" w:color="auto"/>
              <w:right w:val="single" w:sz="4" w:space="0" w:color="auto"/>
            </w:tcBorders>
            <w:shd w:val="clear" w:color="auto" w:fill="auto"/>
            <w:noWrap/>
            <w:vAlign w:val="center"/>
            <w:hideMark/>
          </w:tcPr>
          <w:p w14:paraId="12CBDC7E"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1.84</w:t>
            </w:r>
          </w:p>
        </w:tc>
        <w:tc>
          <w:tcPr>
            <w:tcW w:w="83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1D67962"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42.34</w:t>
            </w:r>
          </w:p>
        </w:tc>
        <w:tc>
          <w:tcPr>
            <w:tcW w:w="82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BFB7381"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7.26</w:t>
            </w:r>
          </w:p>
        </w:tc>
      </w:tr>
      <w:tr w:rsidR="004B4761" w:rsidRPr="004B4761" w14:paraId="5A45AA2E" w14:textId="77777777" w:rsidTr="004B4761">
        <w:trPr>
          <w:gridAfter w:val="1"/>
          <w:wAfter w:w="15" w:type="dxa"/>
          <w:trHeight w:val="828"/>
        </w:trPr>
        <w:tc>
          <w:tcPr>
            <w:tcW w:w="832" w:type="dxa"/>
            <w:tcBorders>
              <w:top w:val="nil"/>
              <w:left w:val="single" w:sz="4" w:space="0" w:color="auto"/>
              <w:bottom w:val="single" w:sz="4" w:space="0" w:color="auto"/>
              <w:right w:val="single" w:sz="4" w:space="0" w:color="auto"/>
            </w:tcBorders>
            <w:shd w:val="clear" w:color="auto" w:fill="auto"/>
            <w:vAlign w:val="center"/>
            <w:hideMark/>
          </w:tcPr>
          <w:p w14:paraId="2E7C3E34"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858" w:type="dxa"/>
            <w:vMerge/>
            <w:tcBorders>
              <w:top w:val="nil"/>
              <w:left w:val="single" w:sz="4" w:space="0" w:color="auto"/>
              <w:bottom w:val="single" w:sz="4" w:space="0" w:color="000000"/>
              <w:right w:val="single" w:sz="4" w:space="0" w:color="auto"/>
            </w:tcBorders>
            <w:vAlign w:val="center"/>
            <w:hideMark/>
          </w:tcPr>
          <w:p w14:paraId="6F6B2C13"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9" w:type="dxa"/>
            <w:vMerge/>
            <w:tcBorders>
              <w:top w:val="nil"/>
              <w:left w:val="single" w:sz="4" w:space="0" w:color="auto"/>
              <w:bottom w:val="single" w:sz="4" w:space="0" w:color="000000"/>
              <w:right w:val="single" w:sz="4" w:space="0" w:color="auto"/>
            </w:tcBorders>
            <w:vAlign w:val="center"/>
            <w:hideMark/>
          </w:tcPr>
          <w:p w14:paraId="7D86D746"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66" w:type="dxa"/>
            <w:tcBorders>
              <w:top w:val="nil"/>
              <w:left w:val="nil"/>
              <w:bottom w:val="single" w:sz="4" w:space="0" w:color="auto"/>
              <w:right w:val="single" w:sz="4" w:space="0" w:color="auto"/>
            </w:tcBorders>
            <w:shd w:val="clear" w:color="auto" w:fill="auto"/>
            <w:vAlign w:val="center"/>
            <w:hideMark/>
          </w:tcPr>
          <w:p w14:paraId="38FD9ABB"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39" w:type="dxa"/>
            <w:vMerge/>
            <w:tcBorders>
              <w:top w:val="nil"/>
              <w:left w:val="single" w:sz="4" w:space="0" w:color="auto"/>
              <w:bottom w:val="single" w:sz="4" w:space="0" w:color="000000"/>
              <w:right w:val="single" w:sz="4" w:space="0" w:color="auto"/>
            </w:tcBorders>
            <w:vAlign w:val="center"/>
            <w:hideMark/>
          </w:tcPr>
          <w:p w14:paraId="7425CCF9"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6" w:type="dxa"/>
            <w:vMerge/>
            <w:tcBorders>
              <w:top w:val="nil"/>
              <w:left w:val="single" w:sz="4" w:space="0" w:color="auto"/>
              <w:bottom w:val="single" w:sz="4" w:space="0" w:color="000000"/>
              <w:right w:val="single" w:sz="4" w:space="0" w:color="auto"/>
            </w:tcBorders>
            <w:vAlign w:val="center"/>
            <w:hideMark/>
          </w:tcPr>
          <w:p w14:paraId="693572E0"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8" w:type="dxa"/>
            <w:vMerge/>
            <w:tcBorders>
              <w:top w:val="nil"/>
              <w:left w:val="single" w:sz="4" w:space="0" w:color="auto"/>
              <w:bottom w:val="single" w:sz="4" w:space="0" w:color="000000"/>
              <w:right w:val="single" w:sz="4" w:space="0" w:color="auto"/>
            </w:tcBorders>
            <w:vAlign w:val="center"/>
            <w:hideMark/>
          </w:tcPr>
          <w:p w14:paraId="4284F67B"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6" w:type="dxa"/>
            <w:tcBorders>
              <w:top w:val="nil"/>
              <w:left w:val="nil"/>
              <w:bottom w:val="single" w:sz="4" w:space="0" w:color="auto"/>
              <w:right w:val="single" w:sz="4" w:space="0" w:color="auto"/>
            </w:tcBorders>
            <w:shd w:val="clear" w:color="auto" w:fill="auto"/>
            <w:noWrap/>
            <w:vAlign w:val="center"/>
            <w:hideMark/>
          </w:tcPr>
          <w:p w14:paraId="01F0B73C"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3.6</w:t>
            </w:r>
          </w:p>
        </w:tc>
        <w:tc>
          <w:tcPr>
            <w:tcW w:w="832" w:type="dxa"/>
            <w:tcBorders>
              <w:top w:val="nil"/>
              <w:left w:val="nil"/>
              <w:bottom w:val="single" w:sz="4" w:space="0" w:color="auto"/>
              <w:right w:val="single" w:sz="4" w:space="0" w:color="auto"/>
            </w:tcBorders>
            <w:shd w:val="clear" w:color="auto" w:fill="auto"/>
            <w:noWrap/>
            <w:vAlign w:val="center"/>
            <w:hideMark/>
          </w:tcPr>
          <w:p w14:paraId="0AB23784"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1.67</w:t>
            </w:r>
          </w:p>
        </w:tc>
        <w:tc>
          <w:tcPr>
            <w:tcW w:w="83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20877B4"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36.99</w:t>
            </w:r>
          </w:p>
        </w:tc>
        <w:tc>
          <w:tcPr>
            <w:tcW w:w="82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9E5206D"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7.45</w:t>
            </w:r>
          </w:p>
        </w:tc>
      </w:tr>
      <w:tr w:rsidR="004B4761" w:rsidRPr="004B4761" w14:paraId="0D82DFBE" w14:textId="77777777" w:rsidTr="004B4761">
        <w:trPr>
          <w:gridAfter w:val="1"/>
          <w:wAfter w:w="15" w:type="dxa"/>
          <w:trHeight w:val="828"/>
        </w:trPr>
        <w:tc>
          <w:tcPr>
            <w:tcW w:w="832" w:type="dxa"/>
            <w:tcBorders>
              <w:top w:val="nil"/>
              <w:left w:val="single" w:sz="4" w:space="0" w:color="auto"/>
              <w:bottom w:val="single" w:sz="4" w:space="0" w:color="auto"/>
              <w:right w:val="single" w:sz="4" w:space="0" w:color="auto"/>
            </w:tcBorders>
            <w:shd w:val="clear" w:color="auto" w:fill="auto"/>
            <w:vAlign w:val="center"/>
            <w:hideMark/>
          </w:tcPr>
          <w:p w14:paraId="3D9E9E39"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858" w:type="dxa"/>
            <w:vMerge w:val="restart"/>
            <w:tcBorders>
              <w:top w:val="nil"/>
              <w:left w:val="single" w:sz="4" w:space="0" w:color="auto"/>
              <w:bottom w:val="single" w:sz="4" w:space="0" w:color="000000"/>
              <w:right w:val="single" w:sz="4" w:space="0" w:color="auto"/>
            </w:tcBorders>
            <w:shd w:val="clear" w:color="auto" w:fill="auto"/>
            <w:vAlign w:val="center"/>
            <w:hideMark/>
          </w:tcPr>
          <w:p w14:paraId="0928BFAF"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w:t>
            </w:r>
          </w:p>
        </w:tc>
        <w:tc>
          <w:tcPr>
            <w:tcW w:w="839" w:type="dxa"/>
            <w:vMerge/>
            <w:tcBorders>
              <w:top w:val="nil"/>
              <w:left w:val="single" w:sz="4" w:space="0" w:color="auto"/>
              <w:bottom w:val="single" w:sz="4" w:space="0" w:color="000000"/>
              <w:right w:val="single" w:sz="4" w:space="0" w:color="auto"/>
            </w:tcBorders>
            <w:vAlign w:val="center"/>
            <w:hideMark/>
          </w:tcPr>
          <w:p w14:paraId="7B4E6148"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66" w:type="dxa"/>
            <w:tcBorders>
              <w:top w:val="nil"/>
              <w:left w:val="nil"/>
              <w:bottom w:val="single" w:sz="4" w:space="0" w:color="auto"/>
              <w:right w:val="single" w:sz="4" w:space="0" w:color="auto"/>
            </w:tcBorders>
            <w:shd w:val="clear" w:color="auto" w:fill="auto"/>
            <w:vAlign w:val="center"/>
            <w:hideMark/>
          </w:tcPr>
          <w:p w14:paraId="08F6F6A7"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39" w:type="dxa"/>
            <w:vMerge/>
            <w:tcBorders>
              <w:top w:val="nil"/>
              <w:left w:val="single" w:sz="4" w:space="0" w:color="auto"/>
              <w:bottom w:val="single" w:sz="4" w:space="0" w:color="000000"/>
              <w:right w:val="single" w:sz="4" w:space="0" w:color="auto"/>
            </w:tcBorders>
            <w:vAlign w:val="center"/>
            <w:hideMark/>
          </w:tcPr>
          <w:p w14:paraId="056122F0"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6" w:type="dxa"/>
            <w:vMerge/>
            <w:tcBorders>
              <w:top w:val="nil"/>
              <w:left w:val="single" w:sz="4" w:space="0" w:color="auto"/>
              <w:bottom w:val="single" w:sz="4" w:space="0" w:color="000000"/>
              <w:right w:val="single" w:sz="4" w:space="0" w:color="auto"/>
            </w:tcBorders>
            <w:vAlign w:val="center"/>
            <w:hideMark/>
          </w:tcPr>
          <w:p w14:paraId="7A86027D"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8" w:type="dxa"/>
            <w:vMerge w:val="restart"/>
            <w:tcBorders>
              <w:top w:val="nil"/>
              <w:left w:val="single" w:sz="4" w:space="0" w:color="auto"/>
              <w:bottom w:val="single" w:sz="4" w:space="0" w:color="000000"/>
              <w:right w:val="single" w:sz="4" w:space="0" w:color="auto"/>
            </w:tcBorders>
            <w:shd w:val="clear" w:color="auto" w:fill="auto"/>
            <w:vAlign w:val="center"/>
            <w:hideMark/>
          </w:tcPr>
          <w:p w14:paraId="021A632F"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53 dBm</w:t>
            </w:r>
          </w:p>
        </w:tc>
        <w:tc>
          <w:tcPr>
            <w:tcW w:w="836" w:type="dxa"/>
            <w:tcBorders>
              <w:top w:val="nil"/>
              <w:left w:val="nil"/>
              <w:bottom w:val="single" w:sz="4" w:space="0" w:color="auto"/>
              <w:right w:val="single" w:sz="4" w:space="0" w:color="auto"/>
            </w:tcBorders>
            <w:shd w:val="clear" w:color="auto" w:fill="auto"/>
            <w:noWrap/>
            <w:vAlign w:val="center"/>
            <w:hideMark/>
          </w:tcPr>
          <w:p w14:paraId="495BB999"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5.15</w:t>
            </w:r>
          </w:p>
        </w:tc>
        <w:tc>
          <w:tcPr>
            <w:tcW w:w="832" w:type="dxa"/>
            <w:tcBorders>
              <w:top w:val="nil"/>
              <w:left w:val="nil"/>
              <w:bottom w:val="single" w:sz="4" w:space="0" w:color="auto"/>
              <w:right w:val="single" w:sz="4" w:space="0" w:color="auto"/>
            </w:tcBorders>
            <w:shd w:val="clear" w:color="auto" w:fill="auto"/>
            <w:noWrap/>
            <w:vAlign w:val="center"/>
            <w:hideMark/>
          </w:tcPr>
          <w:p w14:paraId="5EEBECE9"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2.03</w:t>
            </w:r>
          </w:p>
        </w:tc>
        <w:tc>
          <w:tcPr>
            <w:tcW w:w="83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BEC9EAF"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49.68</w:t>
            </w:r>
          </w:p>
        </w:tc>
        <w:tc>
          <w:tcPr>
            <w:tcW w:w="82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F905299"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7.95</w:t>
            </w:r>
          </w:p>
        </w:tc>
      </w:tr>
      <w:tr w:rsidR="004B4761" w:rsidRPr="004B4761" w14:paraId="0F227BB9" w14:textId="77777777" w:rsidTr="004B4761">
        <w:trPr>
          <w:gridAfter w:val="1"/>
          <w:wAfter w:w="15" w:type="dxa"/>
          <w:trHeight w:val="828"/>
        </w:trPr>
        <w:tc>
          <w:tcPr>
            <w:tcW w:w="832" w:type="dxa"/>
            <w:tcBorders>
              <w:top w:val="nil"/>
              <w:left w:val="single" w:sz="4" w:space="0" w:color="auto"/>
              <w:bottom w:val="single" w:sz="4" w:space="0" w:color="auto"/>
              <w:right w:val="single" w:sz="4" w:space="0" w:color="auto"/>
            </w:tcBorders>
            <w:shd w:val="clear" w:color="auto" w:fill="auto"/>
            <w:vAlign w:val="center"/>
            <w:hideMark/>
          </w:tcPr>
          <w:p w14:paraId="70CE21A3"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858" w:type="dxa"/>
            <w:vMerge/>
            <w:tcBorders>
              <w:top w:val="nil"/>
              <w:left w:val="single" w:sz="4" w:space="0" w:color="auto"/>
              <w:bottom w:val="single" w:sz="4" w:space="0" w:color="000000"/>
              <w:right w:val="single" w:sz="4" w:space="0" w:color="auto"/>
            </w:tcBorders>
            <w:vAlign w:val="center"/>
            <w:hideMark/>
          </w:tcPr>
          <w:p w14:paraId="2EED4B19"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9" w:type="dxa"/>
            <w:vMerge/>
            <w:tcBorders>
              <w:top w:val="nil"/>
              <w:left w:val="single" w:sz="4" w:space="0" w:color="auto"/>
              <w:bottom w:val="single" w:sz="4" w:space="0" w:color="000000"/>
              <w:right w:val="single" w:sz="4" w:space="0" w:color="auto"/>
            </w:tcBorders>
            <w:vAlign w:val="center"/>
            <w:hideMark/>
          </w:tcPr>
          <w:p w14:paraId="6066D2AD"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66" w:type="dxa"/>
            <w:tcBorders>
              <w:top w:val="nil"/>
              <w:left w:val="nil"/>
              <w:bottom w:val="single" w:sz="4" w:space="0" w:color="auto"/>
              <w:right w:val="single" w:sz="4" w:space="0" w:color="auto"/>
            </w:tcBorders>
            <w:shd w:val="clear" w:color="auto" w:fill="auto"/>
            <w:vAlign w:val="center"/>
            <w:hideMark/>
          </w:tcPr>
          <w:p w14:paraId="63AD1375" w14:textId="77777777" w:rsidR="004B4761" w:rsidRPr="00B334F7" w:rsidRDefault="004B4761" w:rsidP="004B4761">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39" w:type="dxa"/>
            <w:vMerge/>
            <w:tcBorders>
              <w:top w:val="nil"/>
              <w:left w:val="single" w:sz="4" w:space="0" w:color="auto"/>
              <w:bottom w:val="single" w:sz="4" w:space="0" w:color="000000"/>
              <w:right w:val="single" w:sz="4" w:space="0" w:color="auto"/>
            </w:tcBorders>
            <w:vAlign w:val="center"/>
            <w:hideMark/>
          </w:tcPr>
          <w:p w14:paraId="01D05CD4"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6" w:type="dxa"/>
            <w:vMerge/>
            <w:tcBorders>
              <w:top w:val="nil"/>
              <w:left w:val="single" w:sz="4" w:space="0" w:color="auto"/>
              <w:bottom w:val="single" w:sz="4" w:space="0" w:color="000000"/>
              <w:right w:val="single" w:sz="4" w:space="0" w:color="auto"/>
            </w:tcBorders>
            <w:vAlign w:val="center"/>
            <w:hideMark/>
          </w:tcPr>
          <w:p w14:paraId="3185E504"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8" w:type="dxa"/>
            <w:vMerge/>
            <w:tcBorders>
              <w:top w:val="nil"/>
              <w:left w:val="single" w:sz="4" w:space="0" w:color="auto"/>
              <w:bottom w:val="single" w:sz="4" w:space="0" w:color="000000"/>
              <w:right w:val="single" w:sz="4" w:space="0" w:color="auto"/>
            </w:tcBorders>
            <w:vAlign w:val="center"/>
            <w:hideMark/>
          </w:tcPr>
          <w:p w14:paraId="78AFA68A" w14:textId="77777777" w:rsidR="004B4761" w:rsidRPr="00B334F7" w:rsidRDefault="004B4761" w:rsidP="004B4761">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6" w:type="dxa"/>
            <w:tcBorders>
              <w:top w:val="nil"/>
              <w:left w:val="nil"/>
              <w:bottom w:val="single" w:sz="4" w:space="0" w:color="auto"/>
              <w:right w:val="single" w:sz="4" w:space="0" w:color="auto"/>
            </w:tcBorders>
            <w:shd w:val="clear" w:color="auto" w:fill="auto"/>
            <w:noWrap/>
            <w:vAlign w:val="center"/>
            <w:hideMark/>
          </w:tcPr>
          <w:p w14:paraId="0594F60C"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3.63</w:t>
            </w:r>
          </w:p>
        </w:tc>
        <w:tc>
          <w:tcPr>
            <w:tcW w:w="832" w:type="dxa"/>
            <w:tcBorders>
              <w:top w:val="nil"/>
              <w:left w:val="nil"/>
              <w:bottom w:val="single" w:sz="4" w:space="0" w:color="auto"/>
              <w:right w:val="single" w:sz="4" w:space="0" w:color="auto"/>
            </w:tcBorders>
            <w:shd w:val="clear" w:color="auto" w:fill="auto"/>
            <w:noWrap/>
            <w:vAlign w:val="center"/>
            <w:hideMark/>
          </w:tcPr>
          <w:p w14:paraId="3EAFCBDA"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1.73</w:t>
            </w:r>
          </w:p>
        </w:tc>
        <w:tc>
          <w:tcPr>
            <w:tcW w:w="83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92C4B73"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37.25</w:t>
            </w:r>
          </w:p>
        </w:tc>
        <w:tc>
          <w:tcPr>
            <w:tcW w:w="82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3577224" w14:textId="77777777" w:rsidR="004B4761" w:rsidRPr="00B334F7" w:rsidRDefault="004B4761" w:rsidP="004B4761">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7.85</w:t>
            </w:r>
          </w:p>
        </w:tc>
      </w:tr>
    </w:tbl>
    <w:p w14:paraId="6A7E5AAB" w14:textId="77777777" w:rsidR="004027F2" w:rsidRDefault="004027F2" w:rsidP="00EF7212">
      <w:pPr>
        <w:rPr>
          <w:lang w:val="en-US"/>
        </w:rPr>
      </w:pPr>
    </w:p>
    <w:p w14:paraId="09E2BA63" w14:textId="41C0FDCB" w:rsidR="0092686E" w:rsidRDefault="0092686E" w:rsidP="0092686E">
      <w:r>
        <w:t>Based on the results presented, we conclude the following on the coexistence for this scenario and case:</w:t>
      </w:r>
    </w:p>
    <w:p w14:paraId="3881EE80" w14:textId="6E2F0726" w:rsidR="00BC05F8" w:rsidRDefault="0092686E" w:rsidP="007722B1">
      <w:pPr>
        <w:rPr>
          <w:lang w:val="en-US"/>
        </w:rPr>
      </w:pPr>
      <w:r>
        <w:rPr>
          <w:b/>
          <w:bCs/>
        </w:rPr>
        <w:t xml:space="preserve">Proposal </w:t>
      </w:r>
      <w:r w:rsidR="00FC6E9F">
        <w:rPr>
          <w:b/>
          <w:bCs/>
        </w:rPr>
        <w:t>3</w:t>
      </w:r>
      <w:r>
        <w:rPr>
          <w:b/>
          <w:bCs/>
        </w:rPr>
        <w:t xml:space="preserve">: </w:t>
      </w:r>
      <w:r w:rsidRPr="00B10AC6">
        <w:rPr>
          <w:b/>
          <w:bCs/>
        </w:rPr>
        <w:t xml:space="preserve">The performance degradation for </w:t>
      </w:r>
      <w:r>
        <w:rPr>
          <w:b/>
          <w:bCs/>
        </w:rPr>
        <w:t>Urban Hotspot Ca</w:t>
      </w:r>
      <w:r w:rsidRPr="00B10AC6">
        <w:rPr>
          <w:b/>
          <w:bCs/>
        </w:rPr>
        <w:t xml:space="preserve">se 1 is </w:t>
      </w:r>
      <w:r>
        <w:rPr>
          <w:b/>
          <w:bCs/>
        </w:rPr>
        <w:t xml:space="preserve">not </w:t>
      </w:r>
      <w:r w:rsidRPr="00B10AC6">
        <w:rPr>
          <w:b/>
          <w:bCs/>
        </w:rPr>
        <w:t xml:space="preserve">acceptable for </w:t>
      </w:r>
      <w:r>
        <w:rPr>
          <w:b/>
          <w:bCs/>
        </w:rPr>
        <w:t>SBFD due to the presence of UE-to-UE adjacent channel interference between UEs within the same cluster.</w:t>
      </w:r>
      <w:r w:rsidR="00373408">
        <w:rPr>
          <w:b/>
          <w:bCs/>
        </w:rPr>
        <w:br/>
      </w:r>
    </w:p>
    <w:p w14:paraId="40AC8F35" w14:textId="35CA3658" w:rsidR="004A19BB" w:rsidRDefault="004A19BB">
      <w:pPr>
        <w:pStyle w:val="Heading4"/>
        <w:ind w:left="0" w:firstLine="0"/>
        <w:rPr>
          <w:lang w:val="en-US"/>
        </w:rPr>
      </w:pPr>
      <w:r w:rsidRPr="00F534F3">
        <w:rPr>
          <w:lang w:val="en-US"/>
        </w:rPr>
        <w:t>3.1.</w:t>
      </w:r>
      <w:r w:rsidR="003B7417" w:rsidRPr="00F534F3">
        <w:rPr>
          <w:lang w:val="en-US"/>
        </w:rPr>
        <w:t>3</w:t>
      </w:r>
      <w:r w:rsidRPr="00F534F3">
        <w:rPr>
          <w:lang w:val="en-US"/>
        </w:rPr>
        <w:t xml:space="preserve"> </w:t>
      </w:r>
      <w:r w:rsidR="00DA7CE7" w:rsidRPr="00F534F3">
        <w:rPr>
          <w:lang w:val="en-US"/>
        </w:rPr>
        <w:t xml:space="preserve">Scenario 4: </w:t>
      </w:r>
      <w:r w:rsidR="009E2979" w:rsidRPr="00F534F3">
        <w:rPr>
          <w:lang w:val="en-US"/>
        </w:rPr>
        <w:t xml:space="preserve">FR1 </w:t>
      </w:r>
      <w:r w:rsidRPr="00F534F3">
        <w:rPr>
          <w:lang w:val="en-US"/>
        </w:rPr>
        <w:t>UMa-to-UMi</w:t>
      </w:r>
    </w:p>
    <w:p w14:paraId="5FA11520" w14:textId="4A6935C3" w:rsidR="00C65B1D" w:rsidRPr="00CE4D4A" w:rsidRDefault="002B0739" w:rsidP="001427F9">
      <w:pPr>
        <w:rPr>
          <w:lang w:val="en-US"/>
        </w:rPr>
      </w:pPr>
      <w:r>
        <w:rPr>
          <w:lang w:val="en-US"/>
        </w:rPr>
        <w:fldChar w:fldCharType="begin"/>
      </w:r>
      <w:r>
        <w:rPr>
          <w:lang w:val="en-US"/>
        </w:rPr>
        <w:instrText xml:space="preserve"> REF _Ref142660708 \h </w:instrText>
      </w:r>
      <w:r>
        <w:rPr>
          <w:lang w:val="en-US"/>
        </w:rPr>
      </w:r>
      <w:r>
        <w:rPr>
          <w:lang w:val="en-US"/>
        </w:rPr>
        <w:fldChar w:fldCharType="separate"/>
      </w:r>
      <w:r w:rsidR="004D336C">
        <w:t xml:space="preserve">Figure </w:t>
      </w:r>
      <w:r w:rsidR="004D336C">
        <w:rPr>
          <w:noProof/>
        </w:rPr>
        <w:t>3</w:t>
      </w:r>
      <w:r>
        <w:rPr>
          <w:lang w:val="en-US"/>
        </w:rPr>
        <w:fldChar w:fldCharType="end"/>
      </w:r>
      <w:r>
        <w:rPr>
          <w:lang w:val="en-US"/>
        </w:rPr>
        <w:t xml:space="preserve"> </w:t>
      </w:r>
      <w:r w:rsidR="00B0223B" w:rsidRPr="005B4A37">
        <w:rPr>
          <w:lang w:val="en-US"/>
        </w:rPr>
        <w:t xml:space="preserve">shows the </w:t>
      </w:r>
      <w:r w:rsidR="00B0223B">
        <w:rPr>
          <w:lang w:val="en-US"/>
        </w:rPr>
        <w:t xml:space="preserve">victim </w:t>
      </w:r>
      <w:r w:rsidR="00B0223B" w:rsidRPr="005B4A37">
        <w:rPr>
          <w:lang w:val="en-US"/>
        </w:rPr>
        <w:t>DL SINR at 5</w:t>
      </w:r>
      <w:r w:rsidR="00B0223B" w:rsidRPr="00EF7212">
        <w:rPr>
          <w:vertAlign w:val="superscript"/>
          <w:lang w:val="en-US"/>
        </w:rPr>
        <w:t>th</w:t>
      </w:r>
      <w:r w:rsidR="00B0223B" w:rsidRPr="005B4A37">
        <w:rPr>
          <w:lang w:val="en-US"/>
        </w:rPr>
        <w:t xml:space="preserve"> and 50</w:t>
      </w:r>
      <w:r w:rsidR="00B0223B" w:rsidRPr="00EF7212">
        <w:rPr>
          <w:vertAlign w:val="superscript"/>
          <w:lang w:val="en-US"/>
        </w:rPr>
        <w:t>th</w:t>
      </w:r>
      <w:r w:rsidR="00B0223B" w:rsidRPr="005B4A37">
        <w:rPr>
          <w:lang w:val="en-US"/>
        </w:rPr>
        <w:t xml:space="preserve"> percentiles </w:t>
      </w:r>
      <w:r w:rsidR="00B0223B">
        <w:rPr>
          <w:lang w:val="en-US"/>
        </w:rPr>
        <w:t>and the victim DL throughput at 5</w:t>
      </w:r>
      <w:r w:rsidR="00B0223B" w:rsidRPr="009703BE">
        <w:rPr>
          <w:vertAlign w:val="superscript"/>
          <w:lang w:val="en-US"/>
        </w:rPr>
        <w:t>th</w:t>
      </w:r>
      <w:r w:rsidR="00B0223B">
        <w:rPr>
          <w:lang w:val="en-US"/>
        </w:rPr>
        <w:t xml:space="preserve"> percentile and average. The figure includes</w:t>
      </w:r>
      <w:r w:rsidR="00B0223B" w:rsidRPr="005B4A37">
        <w:rPr>
          <w:lang w:val="en-US"/>
        </w:rPr>
        <w:t xml:space="preserve"> cases </w:t>
      </w:r>
      <w:r w:rsidR="00B0223B">
        <w:rPr>
          <w:lang w:val="en-US"/>
        </w:rPr>
        <w:t>with</w:t>
      </w:r>
      <w:r w:rsidR="00B0223B" w:rsidRPr="005B4A37">
        <w:rPr>
          <w:lang w:val="en-US"/>
        </w:rPr>
        <w:t xml:space="preserve"> no </w:t>
      </w:r>
      <w:r w:rsidR="00B0223B">
        <w:rPr>
          <w:lang w:val="en-US"/>
        </w:rPr>
        <w:t>adjacent channel interference (ACI)</w:t>
      </w:r>
      <w:r w:rsidR="00B0223B" w:rsidRPr="005B4A37">
        <w:rPr>
          <w:lang w:val="en-US"/>
        </w:rPr>
        <w:t>, and when ACI is generated by TDD DL or SBFD</w:t>
      </w:r>
      <w:r w:rsidR="00B0223B">
        <w:rPr>
          <w:lang w:val="en-US"/>
        </w:rPr>
        <w:t xml:space="preserve">. </w:t>
      </w:r>
      <w:r w:rsidR="00CE4D4A" w:rsidRPr="005B4A37">
        <w:rPr>
          <w:lang w:val="en-US"/>
        </w:rPr>
        <w:t>We observe there that, as expected, not having any aggressor technology at the adjacent channel provides the highest performance.</w:t>
      </w:r>
      <w:r w:rsidR="00CE4D4A">
        <w:rPr>
          <w:lang w:val="en-US"/>
        </w:rPr>
        <w:t xml:space="preserve"> </w:t>
      </w:r>
      <w:r w:rsidR="00F4487D">
        <w:rPr>
          <w:lang w:val="en-US"/>
        </w:rPr>
        <w:t xml:space="preserve">For the cell edge UEs, the SBFD operation results in the worst performance due to the </w:t>
      </w:r>
      <w:r w:rsidR="001C3D29">
        <w:rPr>
          <w:lang w:val="en-US"/>
        </w:rPr>
        <w:t xml:space="preserve">contribution of the </w:t>
      </w:r>
      <w:r w:rsidR="00AD76F8">
        <w:rPr>
          <w:lang w:val="en-US"/>
        </w:rPr>
        <w:t xml:space="preserve">UE-to-UE CLI. On the average performance, </w:t>
      </w:r>
      <w:r w:rsidR="001427F9">
        <w:rPr>
          <w:lang w:val="en-US"/>
        </w:rPr>
        <w:t>TDD DL and SBFD show very similar performance.</w:t>
      </w:r>
    </w:p>
    <w:p w14:paraId="786871B9" w14:textId="41404EBC" w:rsidR="005C101B" w:rsidRDefault="00F152DC" w:rsidP="00EF7212">
      <w:pPr>
        <w:keepNext/>
        <w:jc w:val="center"/>
      </w:pPr>
      <w:r w:rsidRPr="00F152DC">
        <w:lastRenderedPageBreak/>
        <w:t xml:space="preserve"> </w:t>
      </w:r>
      <w:r w:rsidR="00D37B18" w:rsidRPr="00D37B18">
        <w:rPr>
          <w:noProof/>
        </w:rPr>
        <w:drawing>
          <wp:inline distT="0" distB="0" distL="0" distR="0" wp14:anchorId="3F24135D" wp14:editId="3C70F7A4">
            <wp:extent cx="5255812" cy="35621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15">
                      <a:extLst>
                        <a:ext uri="{28A0092B-C50C-407E-A947-70E740481C1C}">
                          <a14:useLocalDpi xmlns:a14="http://schemas.microsoft.com/office/drawing/2010/main" val="0"/>
                        </a:ext>
                      </a:extLst>
                    </a:blip>
                    <a:srcRect l="7281" t="3264" r="6770" b="5317"/>
                    <a:stretch/>
                  </pic:blipFill>
                  <pic:spPr bwMode="auto">
                    <a:xfrm>
                      <a:off x="0" y="0"/>
                      <a:ext cx="5256389" cy="3562576"/>
                    </a:xfrm>
                    <a:prstGeom prst="rect">
                      <a:avLst/>
                    </a:prstGeom>
                    <a:noFill/>
                    <a:ln>
                      <a:noFill/>
                    </a:ln>
                    <a:extLst>
                      <a:ext uri="{53640926-AAD7-44D8-BBD7-CCE9431645EC}">
                        <a14:shadowObscured xmlns:a14="http://schemas.microsoft.com/office/drawing/2010/main"/>
                      </a:ext>
                    </a:extLst>
                  </pic:spPr>
                </pic:pic>
              </a:graphicData>
            </a:graphic>
          </wp:inline>
        </w:drawing>
      </w:r>
    </w:p>
    <w:p w14:paraId="365A23E4" w14:textId="11B1DDD4" w:rsidR="00874287" w:rsidRDefault="005C101B" w:rsidP="004A15B8">
      <w:pPr>
        <w:pStyle w:val="Caption"/>
        <w:jc w:val="center"/>
      </w:pPr>
      <w:bookmarkStart w:id="10" w:name="_Ref142660708"/>
      <w:r>
        <w:t xml:space="preserve">Figure </w:t>
      </w:r>
      <w:r>
        <w:fldChar w:fldCharType="begin"/>
      </w:r>
      <w:r>
        <w:instrText xml:space="preserve"> SEQ Figure \* ARABIC </w:instrText>
      </w:r>
      <w:r>
        <w:fldChar w:fldCharType="separate"/>
      </w:r>
      <w:r w:rsidR="004D336C">
        <w:rPr>
          <w:noProof/>
        </w:rPr>
        <w:t>3</w:t>
      </w:r>
      <w:r>
        <w:fldChar w:fldCharType="end"/>
      </w:r>
      <w:bookmarkEnd w:id="10"/>
      <w:r>
        <w:t xml:space="preserve">. </w:t>
      </w:r>
      <w:r w:rsidR="00F152DC">
        <w:t>Comparison of DL SINR and DL throughput for Case 1 UMa-to-UMi scenario</w:t>
      </w:r>
      <w:r w:rsidR="00F152DC" w:rsidDel="00F152DC">
        <w:t xml:space="preserve"> </w:t>
      </w:r>
    </w:p>
    <w:p w14:paraId="3BA49CC2" w14:textId="21EC68D4" w:rsidR="00B709A4" w:rsidRDefault="00B709A4" w:rsidP="004A15B8">
      <w:pPr>
        <w:rPr>
          <w:b/>
          <w:bCs/>
        </w:rPr>
      </w:pPr>
    </w:p>
    <w:p w14:paraId="7925B714" w14:textId="293C05C2" w:rsidR="00F200A3" w:rsidRDefault="00A2748A" w:rsidP="00F200A3">
      <w:r>
        <w:fldChar w:fldCharType="begin"/>
      </w:r>
      <w:r>
        <w:instrText xml:space="preserve"> REF _Ref146604867 \h </w:instrText>
      </w:r>
      <w:r>
        <w:fldChar w:fldCharType="separate"/>
      </w:r>
      <w:r w:rsidR="004D336C">
        <w:t xml:space="preserve">Table </w:t>
      </w:r>
      <w:r w:rsidR="004D336C">
        <w:rPr>
          <w:noProof/>
        </w:rPr>
        <w:t>3</w:t>
      </w:r>
      <w:r>
        <w:fldChar w:fldCharType="end"/>
      </w:r>
      <w:r>
        <w:t xml:space="preserve"> </w:t>
      </w:r>
      <w:r w:rsidR="00F200A3">
        <w:t xml:space="preserve">shows the performance summary of this scenario, including results for 100% and 10% grid offsets. The throughput degradation values above 5% are highlighted with red to show the cases where the performance is not acceptable. </w:t>
      </w:r>
      <w:r w:rsidR="00F200A3" w:rsidRPr="00FD62C1">
        <w:t xml:space="preserve">The main learning is </w:t>
      </w:r>
      <w:r w:rsidR="00DD3E66">
        <w:t xml:space="preserve">that TDD DL and SBFD similarly </w:t>
      </w:r>
      <w:r w:rsidR="00443C1F">
        <w:t>degrades</w:t>
      </w:r>
      <w:r w:rsidR="00DD3E66">
        <w:t xml:space="preserve"> the victim TDD DL</w:t>
      </w:r>
      <w:r w:rsidR="00FD62C1">
        <w:t xml:space="preserve"> </w:t>
      </w:r>
      <w:r w:rsidR="00DD3E66">
        <w:t xml:space="preserve">performance. </w:t>
      </w:r>
    </w:p>
    <w:p w14:paraId="2E7001E0" w14:textId="589C8033" w:rsidR="00F200A3" w:rsidRDefault="00F200A3" w:rsidP="00B334F7">
      <w:pPr>
        <w:pStyle w:val="Caption"/>
        <w:keepNext/>
      </w:pPr>
      <w:bookmarkStart w:id="11" w:name="_Ref146604867"/>
      <w:r>
        <w:t xml:space="preserve">Table </w:t>
      </w:r>
      <w:r>
        <w:fldChar w:fldCharType="begin"/>
      </w:r>
      <w:r>
        <w:instrText xml:space="preserve"> SEQ Table \* ARABIC </w:instrText>
      </w:r>
      <w:r>
        <w:fldChar w:fldCharType="separate"/>
      </w:r>
      <w:r w:rsidR="004D336C">
        <w:rPr>
          <w:noProof/>
        </w:rPr>
        <w:t>3</w:t>
      </w:r>
      <w:r>
        <w:fldChar w:fldCharType="end"/>
      </w:r>
      <w:bookmarkEnd w:id="11"/>
      <w:r>
        <w:t>. Performance summary for Case 1 UMa-to-UMi scenario</w:t>
      </w:r>
    </w:p>
    <w:tbl>
      <w:tblPr>
        <w:tblW w:w="10096" w:type="dxa"/>
        <w:tblLook w:val="04A0" w:firstRow="1" w:lastRow="0" w:firstColumn="1" w:lastColumn="0" w:noHBand="0" w:noVBand="1"/>
      </w:tblPr>
      <w:tblGrid>
        <w:gridCol w:w="884"/>
        <w:gridCol w:w="915"/>
        <w:gridCol w:w="893"/>
        <w:gridCol w:w="1141"/>
        <w:gridCol w:w="893"/>
        <w:gridCol w:w="889"/>
        <w:gridCol w:w="915"/>
        <w:gridCol w:w="890"/>
        <w:gridCol w:w="887"/>
        <w:gridCol w:w="893"/>
        <w:gridCol w:w="884"/>
        <w:gridCol w:w="12"/>
        <w:tblGridChange w:id="12">
          <w:tblGrid>
            <w:gridCol w:w="884"/>
            <w:gridCol w:w="915"/>
            <w:gridCol w:w="893"/>
            <w:gridCol w:w="1141"/>
            <w:gridCol w:w="893"/>
            <w:gridCol w:w="889"/>
            <w:gridCol w:w="915"/>
            <w:gridCol w:w="890"/>
            <w:gridCol w:w="887"/>
            <w:gridCol w:w="893"/>
            <w:gridCol w:w="884"/>
            <w:gridCol w:w="12"/>
          </w:tblGrid>
        </w:tblGridChange>
      </w:tblGrid>
      <w:tr w:rsidR="002F719C" w:rsidRPr="002F719C" w14:paraId="475039DF" w14:textId="77777777" w:rsidTr="00B334F7">
        <w:trPr>
          <w:trHeight w:val="241"/>
        </w:trPr>
        <w:tc>
          <w:tcPr>
            <w:tcW w:w="1009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391DCD0D"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4: FR1 UMa-to-UMi</w:t>
            </w:r>
            <w:r w:rsidRPr="00B334F7">
              <w:rPr>
                <w:rFonts w:ascii="Times New Roman" w:eastAsia="Times New Roman" w:hAnsi="Times New Roman" w:cs="Times New Roman"/>
                <w:b/>
                <w:bCs/>
                <w:sz w:val="16"/>
                <w:szCs w:val="16"/>
                <w:lang w:val="en-US"/>
              </w:rPr>
              <w:br/>
              <w:t>Case 1: TDD DL as victim</w:t>
            </w:r>
          </w:p>
        </w:tc>
      </w:tr>
      <w:tr w:rsidR="002F719C" w:rsidRPr="002F719C" w14:paraId="7A759344" w14:textId="77777777" w:rsidTr="00B334F7">
        <w:trPr>
          <w:gridAfter w:val="1"/>
          <w:wAfter w:w="12" w:type="dxa"/>
          <w:trHeight w:val="230"/>
        </w:trPr>
        <w:tc>
          <w:tcPr>
            <w:tcW w:w="885" w:type="dxa"/>
            <w:vMerge w:val="restart"/>
            <w:tcBorders>
              <w:top w:val="nil"/>
              <w:left w:val="single" w:sz="4" w:space="0" w:color="auto"/>
              <w:bottom w:val="single" w:sz="4" w:space="0" w:color="000000"/>
              <w:right w:val="single" w:sz="4" w:space="0" w:color="auto"/>
            </w:tcBorders>
            <w:shd w:val="clear" w:color="auto" w:fill="auto"/>
            <w:vAlign w:val="center"/>
            <w:hideMark/>
          </w:tcPr>
          <w:p w14:paraId="6BC90B28"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14:paraId="1ABDF3FF"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94" w:type="dxa"/>
            <w:vMerge w:val="restart"/>
            <w:tcBorders>
              <w:top w:val="nil"/>
              <w:left w:val="single" w:sz="4" w:space="0" w:color="auto"/>
              <w:bottom w:val="single" w:sz="4" w:space="0" w:color="000000"/>
              <w:right w:val="single" w:sz="4" w:space="0" w:color="auto"/>
            </w:tcBorders>
            <w:shd w:val="clear" w:color="auto" w:fill="auto"/>
            <w:vAlign w:val="center"/>
            <w:hideMark/>
          </w:tcPr>
          <w:p w14:paraId="044637DC"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37" w:type="dxa"/>
            <w:vMerge w:val="restart"/>
            <w:tcBorders>
              <w:top w:val="nil"/>
              <w:left w:val="single" w:sz="4" w:space="0" w:color="auto"/>
              <w:bottom w:val="single" w:sz="4" w:space="0" w:color="000000"/>
              <w:right w:val="single" w:sz="4" w:space="0" w:color="auto"/>
            </w:tcBorders>
            <w:shd w:val="clear" w:color="auto" w:fill="auto"/>
            <w:vAlign w:val="center"/>
            <w:hideMark/>
          </w:tcPr>
          <w:p w14:paraId="14D9AB92"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94" w:type="dxa"/>
            <w:vMerge w:val="restart"/>
            <w:tcBorders>
              <w:top w:val="nil"/>
              <w:left w:val="single" w:sz="4" w:space="0" w:color="auto"/>
              <w:bottom w:val="single" w:sz="4" w:space="0" w:color="000000"/>
              <w:right w:val="single" w:sz="4" w:space="0" w:color="auto"/>
            </w:tcBorders>
            <w:shd w:val="clear" w:color="auto" w:fill="auto"/>
            <w:vAlign w:val="center"/>
            <w:hideMark/>
          </w:tcPr>
          <w:p w14:paraId="7D97BFCD"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90" w:type="dxa"/>
            <w:vMerge w:val="restart"/>
            <w:tcBorders>
              <w:top w:val="nil"/>
              <w:left w:val="single" w:sz="4" w:space="0" w:color="auto"/>
              <w:bottom w:val="single" w:sz="4" w:space="0" w:color="000000"/>
              <w:right w:val="single" w:sz="4" w:space="0" w:color="auto"/>
            </w:tcBorders>
            <w:shd w:val="clear" w:color="auto" w:fill="auto"/>
            <w:vAlign w:val="center"/>
            <w:hideMark/>
          </w:tcPr>
          <w:p w14:paraId="41A60B6A"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14:paraId="1A10C9BC"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177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117FE2D"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77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07EC5C2"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2F719C" w:rsidRPr="002F719C" w14:paraId="56F96B62" w14:textId="77777777" w:rsidTr="00B334F7">
        <w:trPr>
          <w:gridAfter w:val="1"/>
          <w:wAfter w:w="12" w:type="dxa"/>
          <w:trHeight w:val="230"/>
        </w:trPr>
        <w:tc>
          <w:tcPr>
            <w:tcW w:w="885" w:type="dxa"/>
            <w:vMerge/>
            <w:tcBorders>
              <w:top w:val="nil"/>
              <w:left w:val="single" w:sz="4" w:space="0" w:color="auto"/>
              <w:bottom w:val="single" w:sz="4" w:space="0" w:color="000000"/>
              <w:right w:val="single" w:sz="4" w:space="0" w:color="auto"/>
            </w:tcBorders>
            <w:vAlign w:val="center"/>
            <w:hideMark/>
          </w:tcPr>
          <w:p w14:paraId="0B9F9835"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5" w:type="dxa"/>
            <w:vMerge/>
            <w:tcBorders>
              <w:top w:val="nil"/>
              <w:left w:val="single" w:sz="4" w:space="0" w:color="auto"/>
              <w:bottom w:val="single" w:sz="4" w:space="0" w:color="000000"/>
              <w:right w:val="single" w:sz="4" w:space="0" w:color="auto"/>
            </w:tcBorders>
            <w:vAlign w:val="center"/>
            <w:hideMark/>
          </w:tcPr>
          <w:p w14:paraId="049EF084"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4" w:type="dxa"/>
            <w:vMerge/>
            <w:tcBorders>
              <w:top w:val="nil"/>
              <w:left w:val="single" w:sz="4" w:space="0" w:color="auto"/>
              <w:bottom w:val="single" w:sz="4" w:space="0" w:color="000000"/>
              <w:right w:val="single" w:sz="4" w:space="0" w:color="auto"/>
            </w:tcBorders>
            <w:vAlign w:val="center"/>
            <w:hideMark/>
          </w:tcPr>
          <w:p w14:paraId="607DA176"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37" w:type="dxa"/>
            <w:vMerge/>
            <w:tcBorders>
              <w:top w:val="nil"/>
              <w:left w:val="single" w:sz="4" w:space="0" w:color="auto"/>
              <w:bottom w:val="single" w:sz="4" w:space="0" w:color="000000"/>
              <w:right w:val="single" w:sz="4" w:space="0" w:color="auto"/>
            </w:tcBorders>
            <w:vAlign w:val="center"/>
            <w:hideMark/>
          </w:tcPr>
          <w:p w14:paraId="4EA81DD5"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4" w:type="dxa"/>
            <w:vMerge/>
            <w:tcBorders>
              <w:top w:val="nil"/>
              <w:left w:val="single" w:sz="4" w:space="0" w:color="auto"/>
              <w:bottom w:val="single" w:sz="4" w:space="0" w:color="000000"/>
              <w:right w:val="single" w:sz="4" w:space="0" w:color="auto"/>
            </w:tcBorders>
            <w:vAlign w:val="center"/>
            <w:hideMark/>
          </w:tcPr>
          <w:p w14:paraId="228D58C9"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0" w:type="dxa"/>
            <w:vMerge/>
            <w:tcBorders>
              <w:top w:val="nil"/>
              <w:left w:val="single" w:sz="4" w:space="0" w:color="auto"/>
              <w:bottom w:val="single" w:sz="4" w:space="0" w:color="000000"/>
              <w:right w:val="single" w:sz="4" w:space="0" w:color="auto"/>
            </w:tcBorders>
            <w:vAlign w:val="center"/>
            <w:hideMark/>
          </w:tcPr>
          <w:p w14:paraId="2393D9C8"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5" w:type="dxa"/>
            <w:vMerge/>
            <w:tcBorders>
              <w:top w:val="nil"/>
              <w:left w:val="single" w:sz="4" w:space="0" w:color="auto"/>
              <w:bottom w:val="single" w:sz="4" w:space="0" w:color="000000"/>
              <w:right w:val="single" w:sz="4" w:space="0" w:color="auto"/>
            </w:tcBorders>
            <w:vAlign w:val="center"/>
            <w:hideMark/>
          </w:tcPr>
          <w:p w14:paraId="7A16A16C"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77" w:type="dxa"/>
            <w:gridSpan w:val="2"/>
            <w:vMerge/>
            <w:tcBorders>
              <w:top w:val="single" w:sz="4" w:space="0" w:color="auto"/>
              <w:left w:val="single" w:sz="4" w:space="0" w:color="auto"/>
              <w:bottom w:val="single" w:sz="4" w:space="0" w:color="000000"/>
              <w:right w:val="single" w:sz="4" w:space="0" w:color="000000"/>
            </w:tcBorders>
            <w:vAlign w:val="center"/>
            <w:hideMark/>
          </w:tcPr>
          <w:p w14:paraId="513BAF49"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77" w:type="dxa"/>
            <w:gridSpan w:val="2"/>
            <w:vMerge/>
            <w:tcBorders>
              <w:top w:val="single" w:sz="4" w:space="0" w:color="auto"/>
              <w:left w:val="single" w:sz="4" w:space="0" w:color="auto"/>
              <w:bottom w:val="single" w:sz="4" w:space="0" w:color="000000"/>
              <w:right w:val="single" w:sz="4" w:space="0" w:color="000000"/>
            </w:tcBorders>
            <w:vAlign w:val="center"/>
            <w:hideMark/>
          </w:tcPr>
          <w:p w14:paraId="79C05184"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4B4761" w:rsidRPr="002F719C" w14:paraId="698464F7" w14:textId="77777777" w:rsidTr="004B4761">
        <w:trPr>
          <w:gridAfter w:val="1"/>
          <w:wAfter w:w="12" w:type="dxa"/>
          <w:trHeight w:val="229"/>
        </w:trPr>
        <w:tc>
          <w:tcPr>
            <w:tcW w:w="885" w:type="dxa"/>
            <w:vMerge/>
            <w:tcBorders>
              <w:top w:val="nil"/>
              <w:left w:val="single" w:sz="4" w:space="0" w:color="auto"/>
              <w:bottom w:val="single" w:sz="4" w:space="0" w:color="000000"/>
              <w:right w:val="single" w:sz="4" w:space="0" w:color="auto"/>
            </w:tcBorders>
            <w:vAlign w:val="center"/>
            <w:hideMark/>
          </w:tcPr>
          <w:p w14:paraId="39996E5C"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5" w:type="dxa"/>
            <w:vMerge/>
            <w:tcBorders>
              <w:top w:val="nil"/>
              <w:left w:val="single" w:sz="4" w:space="0" w:color="auto"/>
              <w:bottom w:val="single" w:sz="4" w:space="0" w:color="000000"/>
              <w:right w:val="single" w:sz="4" w:space="0" w:color="auto"/>
            </w:tcBorders>
            <w:vAlign w:val="center"/>
            <w:hideMark/>
          </w:tcPr>
          <w:p w14:paraId="4E2B9E81"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4" w:type="dxa"/>
            <w:vMerge/>
            <w:tcBorders>
              <w:top w:val="nil"/>
              <w:left w:val="single" w:sz="4" w:space="0" w:color="auto"/>
              <w:bottom w:val="single" w:sz="4" w:space="0" w:color="000000"/>
              <w:right w:val="single" w:sz="4" w:space="0" w:color="auto"/>
            </w:tcBorders>
            <w:vAlign w:val="center"/>
            <w:hideMark/>
          </w:tcPr>
          <w:p w14:paraId="7A6CA7F5"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37" w:type="dxa"/>
            <w:vMerge/>
            <w:tcBorders>
              <w:top w:val="nil"/>
              <w:left w:val="single" w:sz="4" w:space="0" w:color="auto"/>
              <w:bottom w:val="single" w:sz="4" w:space="0" w:color="000000"/>
              <w:right w:val="single" w:sz="4" w:space="0" w:color="auto"/>
            </w:tcBorders>
            <w:vAlign w:val="center"/>
            <w:hideMark/>
          </w:tcPr>
          <w:p w14:paraId="35744DD4"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4" w:type="dxa"/>
            <w:vMerge/>
            <w:tcBorders>
              <w:top w:val="nil"/>
              <w:left w:val="single" w:sz="4" w:space="0" w:color="auto"/>
              <w:bottom w:val="single" w:sz="4" w:space="0" w:color="000000"/>
              <w:right w:val="single" w:sz="4" w:space="0" w:color="auto"/>
            </w:tcBorders>
            <w:vAlign w:val="center"/>
            <w:hideMark/>
          </w:tcPr>
          <w:p w14:paraId="49DA802D"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0" w:type="dxa"/>
            <w:vMerge/>
            <w:tcBorders>
              <w:top w:val="nil"/>
              <w:left w:val="single" w:sz="4" w:space="0" w:color="auto"/>
              <w:bottom w:val="single" w:sz="4" w:space="0" w:color="000000"/>
              <w:right w:val="single" w:sz="4" w:space="0" w:color="auto"/>
            </w:tcBorders>
            <w:vAlign w:val="center"/>
            <w:hideMark/>
          </w:tcPr>
          <w:p w14:paraId="5E742719"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5" w:type="dxa"/>
            <w:vMerge/>
            <w:tcBorders>
              <w:top w:val="nil"/>
              <w:left w:val="single" w:sz="4" w:space="0" w:color="auto"/>
              <w:bottom w:val="single" w:sz="4" w:space="0" w:color="000000"/>
              <w:right w:val="single" w:sz="4" w:space="0" w:color="auto"/>
            </w:tcBorders>
            <w:vAlign w:val="center"/>
            <w:hideMark/>
          </w:tcPr>
          <w:p w14:paraId="290CC160"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0" w:type="dxa"/>
            <w:tcBorders>
              <w:top w:val="nil"/>
              <w:left w:val="nil"/>
              <w:bottom w:val="single" w:sz="4" w:space="0" w:color="auto"/>
              <w:right w:val="single" w:sz="4" w:space="0" w:color="auto"/>
            </w:tcBorders>
            <w:shd w:val="clear" w:color="auto" w:fill="auto"/>
            <w:vAlign w:val="center"/>
            <w:hideMark/>
          </w:tcPr>
          <w:p w14:paraId="69634ACD"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87" w:type="dxa"/>
            <w:tcBorders>
              <w:top w:val="nil"/>
              <w:left w:val="nil"/>
              <w:bottom w:val="single" w:sz="4" w:space="0" w:color="auto"/>
              <w:right w:val="single" w:sz="4" w:space="0" w:color="auto"/>
            </w:tcBorders>
            <w:shd w:val="clear" w:color="auto" w:fill="auto"/>
            <w:vAlign w:val="center"/>
            <w:hideMark/>
          </w:tcPr>
          <w:p w14:paraId="21398CE4"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93" w:type="dxa"/>
            <w:tcBorders>
              <w:top w:val="nil"/>
              <w:left w:val="nil"/>
              <w:bottom w:val="single" w:sz="4" w:space="0" w:color="auto"/>
              <w:right w:val="single" w:sz="4" w:space="0" w:color="auto"/>
            </w:tcBorders>
            <w:shd w:val="clear" w:color="auto" w:fill="auto"/>
            <w:vAlign w:val="center"/>
            <w:hideMark/>
          </w:tcPr>
          <w:p w14:paraId="37DEC851"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84" w:type="dxa"/>
            <w:tcBorders>
              <w:top w:val="nil"/>
              <w:left w:val="nil"/>
              <w:bottom w:val="single" w:sz="4" w:space="0" w:color="auto"/>
              <w:right w:val="single" w:sz="4" w:space="0" w:color="auto"/>
            </w:tcBorders>
            <w:shd w:val="clear" w:color="auto" w:fill="auto"/>
            <w:vAlign w:val="center"/>
            <w:hideMark/>
          </w:tcPr>
          <w:p w14:paraId="78B79BD2"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A94381" w:rsidRPr="002F719C" w14:paraId="1BD1BB27" w14:textId="77777777" w:rsidTr="00B334F7">
        <w:trPr>
          <w:trHeight w:val="229"/>
        </w:trPr>
        <w:tc>
          <w:tcPr>
            <w:tcW w:w="885" w:type="dxa"/>
            <w:tcBorders>
              <w:top w:val="nil"/>
              <w:left w:val="single" w:sz="4" w:space="0" w:color="auto"/>
              <w:bottom w:val="single" w:sz="4" w:space="0" w:color="auto"/>
              <w:right w:val="single" w:sz="4" w:space="0" w:color="auto"/>
            </w:tcBorders>
            <w:shd w:val="clear" w:color="auto" w:fill="auto"/>
            <w:vAlign w:val="center"/>
            <w:hideMark/>
          </w:tcPr>
          <w:p w14:paraId="725D1C60"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14:paraId="791696B8"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DL</w:t>
            </w:r>
          </w:p>
        </w:tc>
        <w:tc>
          <w:tcPr>
            <w:tcW w:w="894" w:type="dxa"/>
            <w:vMerge w:val="restart"/>
            <w:tcBorders>
              <w:top w:val="nil"/>
              <w:left w:val="single" w:sz="4" w:space="0" w:color="auto"/>
              <w:bottom w:val="single" w:sz="4" w:space="0" w:color="000000"/>
              <w:right w:val="single" w:sz="4" w:space="0" w:color="auto"/>
            </w:tcBorders>
            <w:shd w:val="clear" w:color="auto" w:fill="auto"/>
            <w:vAlign w:val="center"/>
            <w:hideMark/>
          </w:tcPr>
          <w:p w14:paraId="72A0F6D2"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DL</w:t>
            </w:r>
          </w:p>
        </w:tc>
        <w:tc>
          <w:tcPr>
            <w:tcW w:w="1137" w:type="dxa"/>
            <w:tcBorders>
              <w:top w:val="nil"/>
              <w:left w:val="nil"/>
              <w:bottom w:val="single" w:sz="4" w:space="0" w:color="auto"/>
              <w:right w:val="single" w:sz="4" w:space="0" w:color="auto"/>
            </w:tcBorders>
            <w:shd w:val="clear" w:color="auto" w:fill="auto"/>
            <w:vAlign w:val="center"/>
            <w:hideMark/>
          </w:tcPr>
          <w:p w14:paraId="2429B85F"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94" w:type="dxa"/>
            <w:vMerge w:val="restart"/>
            <w:tcBorders>
              <w:top w:val="nil"/>
              <w:left w:val="single" w:sz="4" w:space="0" w:color="auto"/>
              <w:bottom w:val="single" w:sz="4" w:space="0" w:color="000000"/>
              <w:right w:val="single" w:sz="4" w:space="0" w:color="auto"/>
            </w:tcBorders>
            <w:shd w:val="clear" w:color="auto" w:fill="auto"/>
            <w:vAlign w:val="center"/>
            <w:hideMark/>
          </w:tcPr>
          <w:p w14:paraId="6F92E582"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46 dBm</w:t>
            </w:r>
          </w:p>
        </w:tc>
        <w:tc>
          <w:tcPr>
            <w:tcW w:w="890" w:type="dxa"/>
            <w:vMerge w:val="restart"/>
            <w:tcBorders>
              <w:top w:val="nil"/>
              <w:left w:val="single" w:sz="4" w:space="0" w:color="auto"/>
              <w:bottom w:val="single" w:sz="4" w:space="0" w:color="000000"/>
              <w:right w:val="single" w:sz="4" w:space="0" w:color="auto"/>
            </w:tcBorders>
            <w:shd w:val="clear" w:color="auto" w:fill="auto"/>
            <w:vAlign w:val="center"/>
            <w:hideMark/>
          </w:tcPr>
          <w:p w14:paraId="717B93A0"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14:paraId="2CDB5471"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53 dBm</w:t>
            </w:r>
          </w:p>
        </w:tc>
        <w:tc>
          <w:tcPr>
            <w:tcW w:w="890" w:type="dxa"/>
            <w:tcBorders>
              <w:top w:val="nil"/>
              <w:left w:val="nil"/>
              <w:bottom w:val="single" w:sz="4" w:space="0" w:color="auto"/>
              <w:right w:val="single" w:sz="4" w:space="0" w:color="auto"/>
            </w:tcBorders>
            <w:shd w:val="clear" w:color="auto" w:fill="auto"/>
            <w:noWrap/>
            <w:vAlign w:val="center"/>
            <w:hideMark/>
          </w:tcPr>
          <w:p w14:paraId="75433B81"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0.48</w:t>
            </w:r>
          </w:p>
        </w:tc>
        <w:tc>
          <w:tcPr>
            <w:tcW w:w="887" w:type="dxa"/>
            <w:tcBorders>
              <w:top w:val="nil"/>
              <w:left w:val="nil"/>
              <w:bottom w:val="single" w:sz="4" w:space="0" w:color="auto"/>
              <w:right w:val="single" w:sz="4" w:space="0" w:color="auto"/>
            </w:tcBorders>
            <w:shd w:val="clear" w:color="auto" w:fill="auto"/>
            <w:noWrap/>
            <w:vAlign w:val="center"/>
            <w:hideMark/>
          </w:tcPr>
          <w:p w14:paraId="2F4EB681"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0.61</w:t>
            </w:r>
          </w:p>
        </w:tc>
        <w:tc>
          <w:tcPr>
            <w:tcW w:w="89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9BC4967"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8.44</w:t>
            </w:r>
          </w:p>
        </w:tc>
        <w:tc>
          <w:tcPr>
            <w:tcW w:w="891" w:type="dxa"/>
            <w:gridSpan w:val="2"/>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758ECC1"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5.09</w:t>
            </w:r>
          </w:p>
        </w:tc>
      </w:tr>
      <w:tr w:rsidR="00A94381" w:rsidRPr="002F719C" w14:paraId="1B1F8D32" w14:textId="77777777" w:rsidTr="00B334F7">
        <w:trPr>
          <w:trHeight w:val="229"/>
        </w:trPr>
        <w:tc>
          <w:tcPr>
            <w:tcW w:w="885" w:type="dxa"/>
            <w:tcBorders>
              <w:top w:val="nil"/>
              <w:left w:val="single" w:sz="4" w:space="0" w:color="auto"/>
              <w:bottom w:val="single" w:sz="4" w:space="0" w:color="auto"/>
              <w:right w:val="single" w:sz="4" w:space="0" w:color="auto"/>
            </w:tcBorders>
            <w:shd w:val="clear" w:color="auto" w:fill="auto"/>
            <w:vAlign w:val="center"/>
            <w:hideMark/>
          </w:tcPr>
          <w:p w14:paraId="4F532932"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15" w:type="dxa"/>
            <w:vMerge/>
            <w:tcBorders>
              <w:top w:val="nil"/>
              <w:left w:val="single" w:sz="4" w:space="0" w:color="auto"/>
              <w:bottom w:val="single" w:sz="4" w:space="0" w:color="000000"/>
              <w:right w:val="single" w:sz="4" w:space="0" w:color="auto"/>
            </w:tcBorders>
            <w:vAlign w:val="center"/>
            <w:hideMark/>
          </w:tcPr>
          <w:p w14:paraId="4460482B"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4" w:type="dxa"/>
            <w:vMerge/>
            <w:tcBorders>
              <w:top w:val="nil"/>
              <w:left w:val="single" w:sz="4" w:space="0" w:color="auto"/>
              <w:bottom w:val="single" w:sz="4" w:space="0" w:color="000000"/>
              <w:right w:val="single" w:sz="4" w:space="0" w:color="auto"/>
            </w:tcBorders>
            <w:vAlign w:val="center"/>
            <w:hideMark/>
          </w:tcPr>
          <w:p w14:paraId="3CBD6DC4"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7" w:type="dxa"/>
            <w:tcBorders>
              <w:top w:val="nil"/>
              <w:left w:val="nil"/>
              <w:bottom w:val="single" w:sz="4" w:space="0" w:color="auto"/>
              <w:right w:val="single" w:sz="4" w:space="0" w:color="auto"/>
            </w:tcBorders>
            <w:shd w:val="clear" w:color="auto" w:fill="auto"/>
            <w:vAlign w:val="center"/>
            <w:hideMark/>
          </w:tcPr>
          <w:p w14:paraId="4A28D15E"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94" w:type="dxa"/>
            <w:vMerge/>
            <w:tcBorders>
              <w:top w:val="nil"/>
              <w:left w:val="single" w:sz="4" w:space="0" w:color="auto"/>
              <w:bottom w:val="single" w:sz="4" w:space="0" w:color="000000"/>
              <w:right w:val="single" w:sz="4" w:space="0" w:color="auto"/>
            </w:tcBorders>
            <w:vAlign w:val="center"/>
            <w:hideMark/>
          </w:tcPr>
          <w:p w14:paraId="1AF4E2D6"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0" w:type="dxa"/>
            <w:vMerge/>
            <w:tcBorders>
              <w:top w:val="nil"/>
              <w:left w:val="single" w:sz="4" w:space="0" w:color="auto"/>
              <w:bottom w:val="single" w:sz="4" w:space="0" w:color="000000"/>
              <w:right w:val="single" w:sz="4" w:space="0" w:color="auto"/>
            </w:tcBorders>
            <w:vAlign w:val="center"/>
            <w:hideMark/>
          </w:tcPr>
          <w:p w14:paraId="3FAEDD7F"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5" w:type="dxa"/>
            <w:vMerge/>
            <w:tcBorders>
              <w:top w:val="nil"/>
              <w:left w:val="single" w:sz="4" w:space="0" w:color="auto"/>
              <w:bottom w:val="single" w:sz="4" w:space="0" w:color="000000"/>
              <w:right w:val="single" w:sz="4" w:space="0" w:color="auto"/>
            </w:tcBorders>
            <w:vAlign w:val="center"/>
            <w:hideMark/>
          </w:tcPr>
          <w:p w14:paraId="32741BFE"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0" w:type="dxa"/>
            <w:tcBorders>
              <w:top w:val="nil"/>
              <w:left w:val="nil"/>
              <w:bottom w:val="single" w:sz="4" w:space="0" w:color="auto"/>
              <w:right w:val="single" w:sz="4" w:space="0" w:color="auto"/>
            </w:tcBorders>
            <w:shd w:val="clear" w:color="auto" w:fill="auto"/>
            <w:noWrap/>
            <w:vAlign w:val="center"/>
            <w:hideMark/>
          </w:tcPr>
          <w:p w14:paraId="2B62A45C"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1.21</w:t>
            </w:r>
          </w:p>
        </w:tc>
        <w:tc>
          <w:tcPr>
            <w:tcW w:w="887" w:type="dxa"/>
            <w:tcBorders>
              <w:top w:val="nil"/>
              <w:left w:val="nil"/>
              <w:bottom w:val="single" w:sz="4" w:space="0" w:color="auto"/>
              <w:right w:val="single" w:sz="4" w:space="0" w:color="auto"/>
            </w:tcBorders>
            <w:shd w:val="clear" w:color="auto" w:fill="auto"/>
            <w:noWrap/>
            <w:vAlign w:val="center"/>
            <w:hideMark/>
          </w:tcPr>
          <w:p w14:paraId="02482309"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0.61</w:t>
            </w:r>
          </w:p>
        </w:tc>
        <w:tc>
          <w:tcPr>
            <w:tcW w:w="89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474B9EF"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20.2</w:t>
            </w:r>
          </w:p>
        </w:tc>
        <w:tc>
          <w:tcPr>
            <w:tcW w:w="891" w:type="dxa"/>
            <w:gridSpan w:val="2"/>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D0DB901"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5.67</w:t>
            </w:r>
          </w:p>
        </w:tc>
      </w:tr>
      <w:tr w:rsidR="00A94381" w:rsidRPr="002F719C" w14:paraId="6137AF07" w14:textId="77777777" w:rsidTr="00B334F7">
        <w:trPr>
          <w:trHeight w:val="585"/>
        </w:trPr>
        <w:tc>
          <w:tcPr>
            <w:tcW w:w="885" w:type="dxa"/>
            <w:tcBorders>
              <w:top w:val="nil"/>
              <w:left w:val="single" w:sz="4" w:space="0" w:color="auto"/>
              <w:bottom w:val="single" w:sz="4" w:space="0" w:color="auto"/>
              <w:right w:val="single" w:sz="4" w:space="0" w:color="auto"/>
            </w:tcBorders>
            <w:shd w:val="clear" w:color="auto" w:fill="auto"/>
            <w:vAlign w:val="center"/>
            <w:hideMark/>
          </w:tcPr>
          <w:p w14:paraId="77ECBDBA"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14:paraId="50377956"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w:t>
            </w:r>
          </w:p>
        </w:tc>
        <w:tc>
          <w:tcPr>
            <w:tcW w:w="894" w:type="dxa"/>
            <w:vMerge/>
            <w:tcBorders>
              <w:top w:val="nil"/>
              <w:left w:val="single" w:sz="4" w:space="0" w:color="auto"/>
              <w:bottom w:val="single" w:sz="4" w:space="0" w:color="000000"/>
              <w:right w:val="single" w:sz="4" w:space="0" w:color="auto"/>
            </w:tcBorders>
            <w:vAlign w:val="center"/>
            <w:hideMark/>
          </w:tcPr>
          <w:p w14:paraId="7B36C050"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7" w:type="dxa"/>
            <w:tcBorders>
              <w:top w:val="nil"/>
              <w:left w:val="nil"/>
              <w:bottom w:val="single" w:sz="4" w:space="0" w:color="auto"/>
              <w:right w:val="single" w:sz="4" w:space="0" w:color="auto"/>
            </w:tcBorders>
            <w:shd w:val="clear" w:color="auto" w:fill="auto"/>
            <w:vAlign w:val="center"/>
            <w:hideMark/>
          </w:tcPr>
          <w:p w14:paraId="7E7CC8BA"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94" w:type="dxa"/>
            <w:vMerge/>
            <w:tcBorders>
              <w:top w:val="nil"/>
              <w:left w:val="single" w:sz="4" w:space="0" w:color="auto"/>
              <w:bottom w:val="single" w:sz="4" w:space="0" w:color="000000"/>
              <w:right w:val="single" w:sz="4" w:space="0" w:color="auto"/>
            </w:tcBorders>
            <w:vAlign w:val="center"/>
            <w:hideMark/>
          </w:tcPr>
          <w:p w14:paraId="142D7797"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0" w:type="dxa"/>
            <w:vMerge/>
            <w:tcBorders>
              <w:top w:val="nil"/>
              <w:left w:val="single" w:sz="4" w:space="0" w:color="auto"/>
              <w:bottom w:val="single" w:sz="4" w:space="0" w:color="000000"/>
              <w:right w:val="single" w:sz="4" w:space="0" w:color="auto"/>
            </w:tcBorders>
            <w:vAlign w:val="center"/>
            <w:hideMark/>
          </w:tcPr>
          <w:p w14:paraId="2F51A49D"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14:paraId="6A24DCD2"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50 dBm</w:t>
            </w:r>
          </w:p>
        </w:tc>
        <w:tc>
          <w:tcPr>
            <w:tcW w:w="890" w:type="dxa"/>
            <w:tcBorders>
              <w:top w:val="nil"/>
              <w:left w:val="nil"/>
              <w:bottom w:val="single" w:sz="4" w:space="0" w:color="auto"/>
              <w:right w:val="single" w:sz="4" w:space="0" w:color="auto"/>
            </w:tcBorders>
            <w:shd w:val="clear" w:color="auto" w:fill="auto"/>
            <w:noWrap/>
            <w:vAlign w:val="center"/>
            <w:hideMark/>
          </w:tcPr>
          <w:p w14:paraId="23385090"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1.87</w:t>
            </w:r>
          </w:p>
        </w:tc>
        <w:tc>
          <w:tcPr>
            <w:tcW w:w="887" w:type="dxa"/>
            <w:tcBorders>
              <w:top w:val="nil"/>
              <w:left w:val="nil"/>
              <w:bottom w:val="single" w:sz="4" w:space="0" w:color="auto"/>
              <w:right w:val="single" w:sz="4" w:space="0" w:color="auto"/>
            </w:tcBorders>
            <w:shd w:val="clear" w:color="auto" w:fill="auto"/>
            <w:noWrap/>
            <w:vAlign w:val="center"/>
            <w:hideMark/>
          </w:tcPr>
          <w:p w14:paraId="427769D9"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0.6</w:t>
            </w:r>
          </w:p>
        </w:tc>
        <w:tc>
          <w:tcPr>
            <w:tcW w:w="89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A2472E2"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29.73</w:t>
            </w:r>
          </w:p>
        </w:tc>
        <w:tc>
          <w:tcPr>
            <w:tcW w:w="891" w:type="dxa"/>
            <w:gridSpan w:val="2"/>
            <w:tcBorders>
              <w:top w:val="nil"/>
              <w:left w:val="nil"/>
              <w:bottom w:val="single" w:sz="4" w:space="0" w:color="auto"/>
              <w:right w:val="single" w:sz="4" w:space="0" w:color="auto"/>
            </w:tcBorders>
            <w:shd w:val="clear" w:color="auto" w:fill="auto"/>
            <w:noWrap/>
            <w:vAlign w:val="center"/>
            <w:hideMark/>
          </w:tcPr>
          <w:p w14:paraId="63584C20"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4.17</w:t>
            </w:r>
          </w:p>
        </w:tc>
      </w:tr>
      <w:tr w:rsidR="00A94381" w:rsidRPr="002F719C" w14:paraId="20321EFD" w14:textId="77777777" w:rsidTr="00B334F7">
        <w:trPr>
          <w:trHeight w:val="585"/>
        </w:trPr>
        <w:tc>
          <w:tcPr>
            <w:tcW w:w="885" w:type="dxa"/>
            <w:tcBorders>
              <w:top w:val="nil"/>
              <w:left w:val="single" w:sz="4" w:space="0" w:color="auto"/>
              <w:bottom w:val="single" w:sz="4" w:space="0" w:color="auto"/>
              <w:right w:val="single" w:sz="4" w:space="0" w:color="auto"/>
            </w:tcBorders>
            <w:shd w:val="clear" w:color="auto" w:fill="auto"/>
            <w:vAlign w:val="center"/>
            <w:hideMark/>
          </w:tcPr>
          <w:p w14:paraId="046E6340"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15" w:type="dxa"/>
            <w:vMerge/>
            <w:tcBorders>
              <w:top w:val="nil"/>
              <w:left w:val="single" w:sz="4" w:space="0" w:color="auto"/>
              <w:bottom w:val="single" w:sz="4" w:space="0" w:color="000000"/>
              <w:right w:val="single" w:sz="4" w:space="0" w:color="auto"/>
            </w:tcBorders>
            <w:vAlign w:val="center"/>
            <w:hideMark/>
          </w:tcPr>
          <w:p w14:paraId="19E240AE"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4" w:type="dxa"/>
            <w:vMerge/>
            <w:tcBorders>
              <w:top w:val="nil"/>
              <w:left w:val="single" w:sz="4" w:space="0" w:color="auto"/>
              <w:bottom w:val="single" w:sz="4" w:space="0" w:color="000000"/>
              <w:right w:val="single" w:sz="4" w:space="0" w:color="auto"/>
            </w:tcBorders>
            <w:vAlign w:val="center"/>
            <w:hideMark/>
          </w:tcPr>
          <w:p w14:paraId="17D8100E"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7" w:type="dxa"/>
            <w:tcBorders>
              <w:top w:val="nil"/>
              <w:left w:val="nil"/>
              <w:bottom w:val="single" w:sz="4" w:space="0" w:color="auto"/>
              <w:right w:val="single" w:sz="4" w:space="0" w:color="auto"/>
            </w:tcBorders>
            <w:shd w:val="clear" w:color="auto" w:fill="auto"/>
            <w:vAlign w:val="center"/>
            <w:hideMark/>
          </w:tcPr>
          <w:p w14:paraId="56ECAF71"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94" w:type="dxa"/>
            <w:vMerge/>
            <w:tcBorders>
              <w:top w:val="nil"/>
              <w:left w:val="single" w:sz="4" w:space="0" w:color="auto"/>
              <w:bottom w:val="single" w:sz="4" w:space="0" w:color="000000"/>
              <w:right w:val="single" w:sz="4" w:space="0" w:color="auto"/>
            </w:tcBorders>
            <w:vAlign w:val="center"/>
            <w:hideMark/>
          </w:tcPr>
          <w:p w14:paraId="51137165"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0" w:type="dxa"/>
            <w:vMerge/>
            <w:tcBorders>
              <w:top w:val="nil"/>
              <w:left w:val="single" w:sz="4" w:space="0" w:color="auto"/>
              <w:bottom w:val="single" w:sz="4" w:space="0" w:color="000000"/>
              <w:right w:val="single" w:sz="4" w:space="0" w:color="auto"/>
            </w:tcBorders>
            <w:vAlign w:val="center"/>
            <w:hideMark/>
          </w:tcPr>
          <w:p w14:paraId="71F20661"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5" w:type="dxa"/>
            <w:vMerge/>
            <w:tcBorders>
              <w:top w:val="nil"/>
              <w:left w:val="single" w:sz="4" w:space="0" w:color="auto"/>
              <w:bottom w:val="single" w:sz="4" w:space="0" w:color="000000"/>
              <w:right w:val="single" w:sz="4" w:space="0" w:color="auto"/>
            </w:tcBorders>
            <w:vAlign w:val="center"/>
            <w:hideMark/>
          </w:tcPr>
          <w:p w14:paraId="6CEBBD82"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0" w:type="dxa"/>
            <w:tcBorders>
              <w:top w:val="nil"/>
              <w:left w:val="nil"/>
              <w:bottom w:val="single" w:sz="4" w:space="0" w:color="auto"/>
              <w:right w:val="single" w:sz="4" w:space="0" w:color="auto"/>
            </w:tcBorders>
            <w:shd w:val="clear" w:color="auto" w:fill="auto"/>
            <w:noWrap/>
            <w:vAlign w:val="center"/>
            <w:hideMark/>
          </w:tcPr>
          <w:p w14:paraId="2AD21140"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0.36</w:t>
            </w:r>
          </w:p>
        </w:tc>
        <w:tc>
          <w:tcPr>
            <w:tcW w:w="887" w:type="dxa"/>
            <w:tcBorders>
              <w:top w:val="nil"/>
              <w:left w:val="nil"/>
              <w:bottom w:val="single" w:sz="4" w:space="0" w:color="auto"/>
              <w:right w:val="single" w:sz="4" w:space="0" w:color="auto"/>
            </w:tcBorders>
            <w:shd w:val="clear" w:color="auto" w:fill="auto"/>
            <w:noWrap/>
            <w:vAlign w:val="center"/>
            <w:hideMark/>
          </w:tcPr>
          <w:p w14:paraId="57EC82D0"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0.38</w:t>
            </w:r>
          </w:p>
        </w:tc>
        <w:tc>
          <w:tcPr>
            <w:tcW w:w="89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763591B"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6.45</w:t>
            </w:r>
          </w:p>
        </w:tc>
        <w:tc>
          <w:tcPr>
            <w:tcW w:w="891" w:type="dxa"/>
            <w:gridSpan w:val="2"/>
            <w:tcBorders>
              <w:top w:val="nil"/>
              <w:left w:val="nil"/>
              <w:bottom w:val="single" w:sz="4" w:space="0" w:color="auto"/>
              <w:right w:val="single" w:sz="4" w:space="0" w:color="auto"/>
            </w:tcBorders>
            <w:shd w:val="clear" w:color="auto" w:fill="auto"/>
            <w:noWrap/>
            <w:vAlign w:val="center"/>
            <w:hideMark/>
          </w:tcPr>
          <w:p w14:paraId="295E17BC"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4</w:t>
            </w:r>
          </w:p>
        </w:tc>
      </w:tr>
      <w:tr w:rsidR="00A94381" w:rsidRPr="002F719C" w14:paraId="12886A66" w14:textId="77777777" w:rsidTr="00B334F7">
        <w:trPr>
          <w:trHeight w:val="585"/>
        </w:trPr>
        <w:tc>
          <w:tcPr>
            <w:tcW w:w="885" w:type="dxa"/>
            <w:tcBorders>
              <w:top w:val="nil"/>
              <w:left w:val="single" w:sz="4" w:space="0" w:color="auto"/>
              <w:bottom w:val="single" w:sz="4" w:space="0" w:color="auto"/>
              <w:right w:val="single" w:sz="4" w:space="0" w:color="auto"/>
            </w:tcBorders>
            <w:shd w:val="clear" w:color="auto" w:fill="auto"/>
            <w:vAlign w:val="center"/>
            <w:hideMark/>
          </w:tcPr>
          <w:p w14:paraId="60BE125A"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14:paraId="76D2F044"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w:t>
            </w:r>
          </w:p>
        </w:tc>
        <w:tc>
          <w:tcPr>
            <w:tcW w:w="894" w:type="dxa"/>
            <w:vMerge/>
            <w:tcBorders>
              <w:top w:val="nil"/>
              <w:left w:val="single" w:sz="4" w:space="0" w:color="auto"/>
              <w:bottom w:val="single" w:sz="4" w:space="0" w:color="000000"/>
              <w:right w:val="single" w:sz="4" w:space="0" w:color="auto"/>
            </w:tcBorders>
            <w:vAlign w:val="center"/>
            <w:hideMark/>
          </w:tcPr>
          <w:p w14:paraId="15585E49"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7" w:type="dxa"/>
            <w:tcBorders>
              <w:top w:val="nil"/>
              <w:left w:val="nil"/>
              <w:bottom w:val="single" w:sz="4" w:space="0" w:color="auto"/>
              <w:right w:val="single" w:sz="4" w:space="0" w:color="auto"/>
            </w:tcBorders>
            <w:shd w:val="clear" w:color="auto" w:fill="auto"/>
            <w:vAlign w:val="center"/>
            <w:hideMark/>
          </w:tcPr>
          <w:p w14:paraId="7A25DA7A"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94" w:type="dxa"/>
            <w:vMerge/>
            <w:tcBorders>
              <w:top w:val="nil"/>
              <w:left w:val="single" w:sz="4" w:space="0" w:color="auto"/>
              <w:bottom w:val="single" w:sz="4" w:space="0" w:color="000000"/>
              <w:right w:val="single" w:sz="4" w:space="0" w:color="auto"/>
            </w:tcBorders>
            <w:vAlign w:val="center"/>
            <w:hideMark/>
          </w:tcPr>
          <w:p w14:paraId="193B70DC"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0" w:type="dxa"/>
            <w:vMerge/>
            <w:tcBorders>
              <w:top w:val="nil"/>
              <w:left w:val="single" w:sz="4" w:space="0" w:color="auto"/>
              <w:bottom w:val="single" w:sz="4" w:space="0" w:color="000000"/>
              <w:right w:val="single" w:sz="4" w:space="0" w:color="auto"/>
            </w:tcBorders>
            <w:vAlign w:val="center"/>
            <w:hideMark/>
          </w:tcPr>
          <w:p w14:paraId="18656930"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14:paraId="058111EF"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53 dBm</w:t>
            </w:r>
          </w:p>
        </w:tc>
        <w:tc>
          <w:tcPr>
            <w:tcW w:w="890" w:type="dxa"/>
            <w:tcBorders>
              <w:top w:val="nil"/>
              <w:left w:val="nil"/>
              <w:bottom w:val="single" w:sz="4" w:space="0" w:color="auto"/>
              <w:right w:val="single" w:sz="4" w:space="0" w:color="auto"/>
            </w:tcBorders>
            <w:shd w:val="clear" w:color="auto" w:fill="auto"/>
            <w:noWrap/>
            <w:vAlign w:val="center"/>
            <w:hideMark/>
          </w:tcPr>
          <w:p w14:paraId="4399B9D8"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1.67</w:t>
            </w:r>
          </w:p>
        </w:tc>
        <w:tc>
          <w:tcPr>
            <w:tcW w:w="887" w:type="dxa"/>
            <w:tcBorders>
              <w:top w:val="nil"/>
              <w:left w:val="nil"/>
              <w:bottom w:val="single" w:sz="4" w:space="0" w:color="auto"/>
              <w:right w:val="single" w:sz="4" w:space="0" w:color="auto"/>
            </w:tcBorders>
            <w:shd w:val="clear" w:color="auto" w:fill="auto"/>
            <w:noWrap/>
            <w:vAlign w:val="center"/>
            <w:hideMark/>
          </w:tcPr>
          <w:p w14:paraId="7B7B59E6"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0.68</w:t>
            </w:r>
          </w:p>
        </w:tc>
        <w:tc>
          <w:tcPr>
            <w:tcW w:w="89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634C2DE"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26.93</w:t>
            </w:r>
          </w:p>
        </w:tc>
        <w:tc>
          <w:tcPr>
            <w:tcW w:w="891" w:type="dxa"/>
            <w:gridSpan w:val="2"/>
            <w:tcBorders>
              <w:top w:val="nil"/>
              <w:left w:val="nil"/>
              <w:bottom w:val="single" w:sz="4" w:space="0" w:color="auto"/>
              <w:right w:val="single" w:sz="4" w:space="0" w:color="auto"/>
            </w:tcBorders>
            <w:shd w:val="clear" w:color="auto" w:fill="auto"/>
            <w:noWrap/>
            <w:vAlign w:val="center"/>
            <w:hideMark/>
          </w:tcPr>
          <w:p w14:paraId="7124914B"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4.46</w:t>
            </w:r>
          </w:p>
        </w:tc>
      </w:tr>
      <w:tr w:rsidR="00A94381" w:rsidRPr="002F719C" w14:paraId="59894BE2" w14:textId="77777777" w:rsidTr="00B334F7">
        <w:trPr>
          <w:trHeight w:val="585"/>
        </w:trPr>
        <w:tc>
          <w:tcPr>
            <w:tcW w:w="885" w:type="dxa"/>
            <w:tcBorders>
              <w:top w:val="nil"/>
              <w:left w:val="single" w:sz="4" w:space="0" w:color="auto"/>
              <w:bottom w:val="single" w:sz="4" w:space="0" w:color="auto"/>
              <w:right w:val="single" w:sz="4" w:space="0" w:color="auto"/>
            </w:tcBorders>
            <w:shd w:val="clear" w:color="auto" w:fill="auto"/>
            <w:vAlign w:val="center"/>
            <w:hideMark/>
          </w:tcPr>
          <w:p w14:paraId="71748A51"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15" w:type="dxa"/>
            <w:vMerge/>
            <w:tcBorders>
              <w:top w:val="nil"/>
              <w:left w:val="single" w:sz="4" w:space="0" w:color="auto"/>
              <w:bottom w:val="single" w:sz="4" w:space="0" w:color="000000"/>
              <w:right w:val="single" w:sz="4" w:space="0" w:color="auto"/>
            </w:tcBorders>
            <w:vAlign w:val="center"/>
            <w:hideMark/>
          </w:tcPr>
          <w:p w14:paraId="1EEB281C"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4" w:type="dxa"/>
            <w:vMerge/>
            <w:tcBorders>
              <w:top w:val="nil"/>
              <w:left w:val="single" w:sz="4" w:space="0" w:color="auto"/>
              <w:bottom w:val="single" w:sz="4" w:space="0" w:color="000000"/>
              <w:right w:val="single" w:sz="4" w:space="0" w:color="auto"/>
            </w:tcBorders>
            <w:vAlign w:val="center"/>
            <w:hideMark/>
          </w:tcPr>
          <w:p w14:paraId="3E6E7631"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7" w:type="dxa"/>
            <w:tcBorders>
              <w:top w:val="nil"/>
              <w:left w:val="nil"/>
              <w:bottom w:val="single" w:sz="4" w:space="0" w:color="auto"/>
              <w:right w:val="single" w:sz="4" w:space="0" w:color="auto"/>
            </w:tcBorders>
            <w:shd w:val="clear" w:color="auto" w:fill="auto"/>
            <w:vAlign w:val="center"/>
            <w:hideMark/>
          </w:tcPr>
          <w:p w14:paraId="2EB8FC3C" w14:textId="77777777" w:rsidR="002F719C" w:rsidRPr="00B334F7" w:rsidRDefault="002F719C" w:rsidP="002F719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94" w:type="dxa"/>
            <w:vMerge/>
            <w:tcBorders>
              <w:top w:val="nil"/>
              <w:left w:val="single" w:sz="4" w:space="0" w:color="auto"/>
              <w:bottom w:val="single" w:sz="4" w:space="0" w:color="000000"/>
              <w:right w:val="single" w:sz="4" w:space="0" w:color="auto"/>
            </w:tcBorders>
            <w:vAlign w:val="center"/>
            <w:hideMark/>
          </w:tcPr>
          <w:p w14:paraId="09B159C0"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0" w:type="dxa"/>
            <w:vMerge/>
            <w:tcBorders>
              <w:top w:val="nil"/>
              <w:left w:val="single" w:sz="4" w:space="0" w:color="auto"/>
              <w:bottom w:val="single" w:sz="4" w:space="0" w:color="000000"/>
              <w:right w:val="single" w:sz="4" w:space="0" w:color="auto"/>
            </w:tcBorders>
            <w:vAlign w:val="center"/>
            <w:hideMark/>
          </w:tcPr>
          <w:p w14:paraId="73CCC6F4"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5" w:type="dxa"/>
            <w:vMerge/>
            <w:tcBorders>
              <w:top w:val="nil"/>
              <w:left w:val="single" w:sz="4" w:space="0" w:color="auto"/>
              <w:bottom w:val="single" w:sz="4" w:space="0" w:color="000000"/>
              <w:right w:val="single" w:sz="4" w:space="0" w:color="auto"/>
            </w:tcBorders>
            <w:vAlign w:val="center"/>
            <w:hideMark/>
          </w:tcPr>
          <w:p w14:paraId="11F9854A" w14:textId="77777777" w:rsidR="002F719C" w:rsidRPr="00B334F7" w:rsidRDefault="002F719C" w:rsidP="002F719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0" w:type="dxa"/>
            <w:tcBorders>
              <w:top w:val="nil"/>
              <w:left w:val="nil"/>
              <w:bottom w:val="single" w:sz="4" w:space="0" w:color="auto"/>
              <w:right w:val="single" w:sz="4" w:space="0" w:color="auto"/>
            </w:tcBorders>
            <w:shd w:val="clear" w:color="auto" w:fill="auto"/>
            <w:noWrap/>
            <w:vAlign w:val="center"/>
            <w:hideMark/>
          </w:tcPr>
          <w:p w14:paraId="2C7B2B18"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0.39</w:t>
            </w:r>
          </w:p>
        </w:tc>
        <w:tc>
          <w:tcPr>
            <w:tcW w:w="887" w:type="dxa"/>
            <w:tcBorders>
              <w:top w:val="nil"/>
              <w:left w:val="nil"/>
              <w:bottom w:val="single" w:sz="4" w:space="0" w:color="auto"/>
              <w:right w:val="single" w:sz="4" w:space="0" w:color="auto"/>
            </w:tcBorders>
            <w:shd w:val="clear" w:color="auto" w:fill="auto"/>
            <w:noWrap/>
            <w:vAlign w:val="center"/>
            <w:hideMark/>
          </w:tcPr>
          <w:p w14:paraId="0C310EF0"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0.42</w:t>
            </w:r>
          </w:p>
        </w:tc>
        <w:tc>
          <w:tcPr>
            <w:tcW w:w="89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116D126"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6.87</w:t>
            </w:r>
          </w:p>
        </w:tc>
        <w:tc>
          <w:tcPr>
            <w:tcW w:w="891" w:type="dxa"/>
            <w:gridSpan w:val="2"/>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3626EFA" w14:textId="77777777" w:rsidR="002F719C" w:rsidRPr="00B334F7" w:rsidRDefault="002F719C" w:rsidP="002F719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6.04</w:t>
            </w:r>
          </w:p>
        </w:tc>
      </w:tr>
    </w:tbl>
    <w:p w14:paraId="075E62F1" w14:textId="77777777" w:rsidR="00D74E9B" w:rsidRPr="00EF7212" w:rsidRDefault="00D74E9B" w:rsidP="004A15B8"/>
    <w:p w14:paraId="2412DF3C" w14:textId="122D9647" w:rsidR="008F28FB" w:rsidRPr="00BE5EE3" w:rsidRDefault="008F28FB" w:rsidP="008F28FB">
      <w:pPr>
        <w:rPr>
          <w:lang w:val="en-US"/>
        </w:rPr>
      </w:pPr>
      <w:r>
        <w:rPr>
          <w:lang w:val="en-US"/>
        </w:rPr>
        <w:t xml:space="preserve">Based on the results shown above, we conclude the following </w:t>
      </w:r>
      <w:r w:rsidR="00024793">
        <w:rPr>
          <w:lang w:val="en-US"/>
        </w:rPr>
        <w:t>in terms of coexistence</w:t>
      </w:r>
      <w:r>
        <w:rPr>
          <w:lang w:val="en-US"/>
        </w:rPr>
        <w:t>:</w:t>
      </w:r>
    </w:p>
    <w:p w14:paraId="648E8EF6" w14:textId="191E4DD7" w:rsidR="003B7417" w:rsidRDefault="00F95541" w:rsidP="00CE7591">
      <w:pPr>
        <w:rPr>
          <w:b/>
          <w:bCs/>
        </w:rPr>
      </w:pPr>
      <w:r w:rsidRPr="00B10AC6">
        <w:rPr>
          <w:b/>
          <w:bCs/>
        </w:rPr>
        <w:t xml:space="preserve">Proposal </w:t>
      </w:r>
      <w:r w:rsidR="0075382C">
        <w:rPr>
          <w:b/>
          <w:bCs/>
        </w:rPr>
        <w:t>4</w:t>
      </w:r>
      <w:r w:rsidRPr="00B10AC6">
        <w:rPr>
          <w:b/>
          <w:bCs/>
        </w:rPr>
        <w:t xml:space="preserve">: The performance degradation for </w:t>
      </w:r>
      <w:r>
        <w:rPr>
          <w:b/>
          <w:bCs/>
        </w:rPr>
        <w:t>UM</w:t>
      </w:r>
      <w:r w:rsidR="003A240A">
        <w:rPr>
          <w:b/>
          <w:bCs/>
        </w:rPr>
        <w:t>a</w:t>
      </w:r>
      <w:r>
        <w:rPr>
          <w:b/>
          <w:bCs/>
        </w:rPr>
        <w:t>-to-UMi Ca</w:t>
      </w:r>
      <w:r w:rsidRPr="00B10AC6">
        <w:rPr>
          <w:b/>
          <w:bCs/>
        </w:rPr>
        <w:t xml:space="preserve">se 1 </w:t>
      </w:r>
      <w:r w:rsidR="00506BE3">
        <w:rPr>
          <w:b/>
          <w:bCs/>
        </w:rPr>
        <w:t>can be considered</w:t>
      </w:r>
      <w:r w:rsidRPr="00B10AC6">
        <w:rPr>
          <w:b/>
          <w:bCs/>
        </w:rPr>
        <w:t xml:space="preserve"> acceptable for both TDD DL and SBFD aggressor technologies.</w:t>
      </w:r>
    </w:p>
    <w:p w14:paraId="2A97273E" w14:textId="19694BB5" w:rsidR="003B7417" w:rsidRDefault="003B7417" w:rsidP="003B7417">
      <w:pPr>
        <w:pStyle w:val="Heading4"/>
        <w:rPr>
          <w:lang w:val="en-US"/>
        </w:rPr>
      </w:pPr>
      <w:r w:rsidRPr="00F534F3">
        <w:rPr>
          <w:lang w:val="en-US"/>
        </w:rPr>
        <w:lastRenderedPageBreak/>
        <w:t>3.1.</w:t>
      </w:r>
      <w:r w:rsidR="00A53A07" w:rsidRPr="00F534F3">
        <w:rPr>
          <w:lang w:val="en-US"/>
        </w:rPr>
        <w:t>4</w:t>
      </w:r>
      <w:r w:rsidRPr="00F534F3">
        <w:rPr>
          <w:lang w:val="en-US"/>
        </w:rPr>
        <w:t xml:space="preserve"> Scenario 5: FR1 UMi-to-UMi</w:t>
      </w:r>
    </w:p>
    <w:p w14:paraId="136A04CD" w14:textId="6A7A2050" w:rsidR="008831B2" w:rsidRDefault="003B7417" w:rsidP="003B7417">
      <w:pPr>
        <w:rPr>
          <w:lang w:val="en-US"/>
        </w:rPr>
      </w:pPr>
      <w:r w:rsidRPr="00AC3B2F">
        <w:rPr>
          <w:lang w:val="en-US"/>
        </w:rPr>
        <w:fldChar w:fldCharType="begin"/>
      </w:r>
      <w:r w:rsidRPr="00AC3B2F">
        <w:rPr>
          <w:lang w:val="en-US"/>
        </w:rPr>
        <w:instrText xml:space="preserve"> REF _Ref142654904 \h </w:instrText>
      </w:r>
      <w:r w:rsidR="00F466CB" w:rsidRPr="00B334F7">
        <w:rPr>
          <w:lang w:val="en-US"/>
        </w:rPr>
        <w:instrText xml:space="preserve"> \* MERGEFORMA</w:instrText>
      </w:r>
      <w:r w:rsidR="00F466CB" w:rsidRPr="00AC3B2F">
        <w:rPr>
          <w:lang w:val="en-US"/>
        </w:rPr>
        <w:instrText xml:space="preserve">T </w:instrText>
      </w:r>
      <w:r w:rsidRPr="00AC3B2F">
        <w:rPr>
          <w:lang w:val="en-US"/>
        </w:rPr>
      </w:r>
      <w:r w:rsidRPr="00AC3B2F">
        <w:rPr>
          <w:lang w:val="en-US"/>
        </w:rPr>
        <w:fldChar w:fldCharType="separate"/>
      </w:r>
      <w:r w:rsidR="004D336C">
        <w:t xml:space="preserve">Figure </w:t>
      </w:r>
      <w:r w:rsidR="004D336C">
        <w:rPr>
          <w:noProof/>
        </w:rPr>
        <w:t>4</w:t>
      </w:r>
      <w:r w:rsidRPr="00AC3B2F">
        <w:rPr>
          <w:lang w:val="en-US"/>
        </w:rPr>
        <w:fldChar w:fldCharType="end"/>
      </w:r>
      <w:r w:rsidRPr="00AC3B2F">
        <w:rPr>
          <w:lang w:val="en-US"/>
        </w:rPr>
        <w:t xml:space="preserve"> </w:t>
      </w:r>
      <w:r w:rsidR="00F8117F" w:rsidRPr="00AC3B2F">
        <w:rPr>
          <w:lang w:val="en-US"/>
        </w:rPr>
        <w:t>shows the victim DL SINR at 5</w:t>
      </w:r>
      <w:r w:rsidR="00F8117F" w:rsidRPr="00AC3B2F">
        <w:rPr>
          <w:vertAlign w:val="superscript"/>
          <w:lang w:val="en-US"/>
        </w:rPr>
        <w:t>th</w:t>
      </w:r>
      <w:r w:rsidR="00F8117F" w:rsidRPr="00AC3B2F">
        <w:rPr>
          <w:lang w:val="en-US"/>
        </w:rPr>
        <w:t xml:space="preserve"> and 50</w:t>
      </w:r>
      <w:r w:rsidR="00F8117F" w:rsidRPr="00AC3B2F">
        <w:rPr>
          <w:vertAlign w:val="superscript"/>
          <w:lang w:val="en-US"/>
        </w:rPr>
        <w:t>th</w:t>
      </w:r>
      <w:r w:rsidR="00F8117F" w:rsidRPr="00AC3B2F">
        <w:rPr>
          <w:lang w:val="en-US"/>
        </w:rPr>
        <w:t xml:space="preserve"> percentiles and the victim DL throughput at 5</w:t>
      </w:r>
      <w:r w:rsidR="00F8117F" w:rsidRPr="00AC3B2F">
        <w:rPr>
          <w:vertAlign w:val="superscript"/>
          <w:lang w:val="en-US"/>
        </w:rPr>
        <w:t>th</w:t>
      </w:r>
      <w:r w:rsidR="00F8117F" w:rsidRPr="00AC3B2F">
        <w:rPr>
          <w:lang w:val="en-US"/>
        </w:rPr>
        <w:t xml:space="preserve"> percentile and average. The figure includes cases with no adjacent channel interference (ACI), and when ACI is generated by TDD DL or SBFD. </w:t>
      </w:r>
      <w:r w:rsidRPr="00AC3B2F">
        <w:rPr>
          <w:lang w:val="en-US"/>
        </w:rPr>
        <w:t xml:space="preserve">We observe that, as expected, not having any aggressor technology at the adjacent channel provides the highest performance. </w:t>
      </w:r>
      <w:r w:rsidR="003255BC" w:rsidRPr="00AC3B2F">
        <w:rPr>
          <w:lang w:val="en-US"/>
        </w:rPr>
        <w:t xml:space="preserve">On the comparison between TDD and SBFD, SBFD </w:t>
      </w:r>
      <w:r w:rsidR="00B3032F" w:rsidRPr="00AC3B2F">
        <w:rPr>
          <w:lang w:val="en-US"/>
        </w:rPr>
        <w:t xml:space="preserve">shows </w:t>
      </w:r>
      <w:r w:rsidR="00AC3B2F" w:rsidRPr="00B334F7">
        <w:rPr>
          <w:lang w:val="en-US"/>
        </w:rPr>
        <w:t xml:space="preserve">slightly </w:t>
      </w:r>
      <w:r w:rsidR="00B3032F" w:rsidRPr="00AC3B2F">
        <w:rPr>
          <w:lang w:val="en-US"/>
        </w:rPr>
        <w:t xml:space="preserve">lower degradation. The reason </w:t>
      </w:r>
      <w:r w:rsidR="00C26E0B" w:rsidRPr="00AC3B2F">
        <w:rPr>
          <w:lang w:val="en-US"/>
        </w:rPr>
        <w:t xml:space="preserve">for this </w:t>
      </w:r>
      <w:r w:rsidR="00B3032F" w:rsidRPr="00AC3B2F">
        <w:rPr>
          <w:lang w:val="en-US"/>
        </w:rPr>
        <w:t>is the assumption of constant power spectral density, which results in lower BS transmit power for the SBFD cases. Moreover, since this scenario assumes uniformly distributed UEs, t</w:t>
      </w:r>
      <w:r w:rsidR="003255BC" w:rsidRPr="00AC3B2F">
        <w:rPr>
          <w:lang w:val="en-US"/>
        </w:rPr>
        <w:t>he effect</w:t>
      </w:r>
      <w:r w:rsidR="008831B2" w:rsidRPr="00AC3B2F">
        <w:rPr>
          <w:lang w:val="en-US"/>
        </w:rPr>
        <w:t xml:space="preserve"> UE-to-UE CLI is n</w:t>
      </w:r>
      <w:r w:rsidR="0007632E" w:rsidRPr="00AC3B2F">
        <w:rPr>
          <w:lang w:val="en-US"/>
        </w:rPr>
        <w:t>ot strong enough to have an impact</w:t>
      </w:r>
      <w:r w:rsidR="00B3032F" w:rsidRPr="00AC3B2F">
        <w:rPr>
          <w:lang w:val="en-US"/>
        </w:rPr>
        <w:t>.</w:t>
      </w:r>
      <w:r w:rsidR="00A376BA">
        <w:rPr>
          <w:lang w:val="en-US"/>
        </w:rPr>
        <w:br/>
      </w:r>
    </w:p>
    <w:p w14:paraId="5D9383BC" w14:textId="6A367FE4" w:rsidR="0033339E" w:rsidRDefault="0085666B" w:rsidP="00B334F7">
      <w:pPr>
        <w:jc w:val="center"/>
      </w:pPr>
      <w:r w:rsidRPr="0085666B">
        <w:rPr>
          <w:noProof/>
        </w:rPr>
        <w:drawing>
          <wp:inline distT="0" distB="0" distL="0" distR="0" wp14:anchorId="613CD818" wp14:editId="1A4A53AC">
            <wp:extent cx="4533690" cy="343783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16">
                      <a:extLst>
                        <a:ext uri="{28A0092B-C50C-407E-A947-70E740481C1C}">
                          <a14:useLocalDpi xmlns:a14="http://schemas.microsoft.com/office/drawing/2010/main" val="0"/>
                        </a:ext>
                      </a:extLst>
                    </a:blip>
                    <a:srcRect l="6100" t="2662" r="7290" b="5973"/>
                    <a:stretch/>
                  </pic:blipFill>
                  <pic:spPr bwMode="auto">
                    <a:xfrm>
                      <a:off x="0" y="0"/>
                      <a:ext cx="4540929" cy="3443328"/>
                    </a:xfrm>
                    <a:prstGeom prst="rect">
                      <a:avLst/>
                    </a:prstGeom>
                    <a:noFill/>
                    <a:ln>
                      <a:noFill/>
                    </a:ln>
                    <a:extLst>
                      <a:ext uri="{53640926-AAD7-44D8-BBD7-CCE9431645EC}">
                        <a14:shadowObscured xmlns:a14="http://schemas.microsoft.com/office/drawing/2010/main"/>
                      </a:ext>
                    </a:extLst>
                  </pic:spPr>
                </pic:pic>
              </a:graphicData>
            </a:graphic>
          </wp:inline>
        </w:drawing>
      </w:r>
    </w:p>
    <w:p w14:paraId="2E8C4C5B" w14:textId="47D53E12" w:rsidR="00287402" w:rsidRPr="009D3E26" w:rsidRDefault="003B7417" w:rsidP="00287402">
      <w:pPr>
        <w:pStyle w:val="Caption"/>
        <w:jc w:val="center"/>
      </w:pPr>
      <w:bookmarkStart w:id="13" w:name="_Ref142654904"/>
      <w:r>
        <w:t xml:space="preserve">Figure </w:t>
      </w:r>
      <w:r>
        <w:fldChar w:fldCharType="begin"/>
      </w:r>
      <w:r>
        <w:instrText xml:space="preserve"> SEQ Figure \* ARABIC </w:instrText>
      </w:r>
      <w:r>
        <w:fldChar w:fldCharType="separate"/>
      </w:r>
      <w:r w:rsidR="004D336C">
        <w:rPr>
          <w:noProof/>
        </w:rPr>
        <w:t>4</w:t>
      </w:r>
      <w:r>
        <w:fldChar w:fldCharType="end"/>
      </w:r>
      <w:bookmarkEnd w:id="13"/>
      <w:r>
        <w:t xml:space="preserve">. </w:t>
      </w:r>
      <w:r w:rsidR="00287402">
        <w:t xml:space="preserve">Comparison of DL SINR and DL throughput for Case 1 </w:t>
      </w:r>
      <w:r w:rsidR="00AC57DC">
        <w:t>UMi-to-UMi</w:t>
      </w:r>
      <w:r w:rsidR="00287402">
        <w:t xml:space="preserve"> scenario</w:t>
      </w:r>
    </w:p>
    <w:p w14:paraId="5921807B" w14:textId="3DE421A6" w:rsidR="004933D9" w:rsidRDefault="004933D9" w:rsidP="003643CB">
      <w:pPr>
        <w:rPr>
          <w:lang w:val="en-US"/>
        </w:rPr>
      </w:pPr>
    </w:p>
    <w:p w14:paraId="1EBD7C92" w14:textId="023378B0" w:rsidR="009B4500" w:rsidRDefault="005B0F34" w:rsidP="003643CB">
      <w:r>
        <w:fldChar w:fldCharType="begin"/>
      </w:r>
      <w:r>
        <w:instrText xml:space="preserve"> REF _Ref146563931 \h </w:instrText>
      </w:r>
      <w:r>
        <w:fldChar w:fldCharType="separate"/>
      </w:r>
      <w:r w:rsidR="004D336C">
        <w:t xml:space="preserve">Table </w:t>
      </w:r>
      <w:r w:rsidR="004D336C">
        <w:rPr>
          <w:noProof/>
        </w:rPr>
        <w:t>4</w:t>
      </w:r>
      <w:r>
        <w:fldChar w:fldCharType="end"/>
      </w:r>
      <w:r>
        <w:t xml:space="preserve"> </w:t>
      </w:r>
      <w:r w:rsidR="003643CB">
        <w:t xml:space="preserve">shows </w:t>
      </w:r>
      <w:r w:rsidR="00A6151A">
        <w:t>the performance summary of this scenario</w:t>
      </w:r>
      <w:r w:rsidR="00AA30E9">
        <w:t>, including results for 100% and 10% grid offsets</w:t>
      </w:r>
      <w:r w:rsidR="003643CB">
        <w:t xml:space="preserve">. The throughput degradation values above 5% are highlighted with red to show the cases where the performance is not acceptable. </w:t>
      </w:r>
      <w:r w:rsidR="00A6151A">
        <w:t>The main learning</w:t>
      </w:r>
      <w:r w:rsidR="002B28A8">
        <w:t>s are: 1)</w:t>
      </w:r>
      <w:r>
        <w:t xml:space="preserve"> TDD DL and SBFD </w:t>
      </w:r>
      <w:r w:rsidR="00993841">
        <w:t>show very similar performance degradation</w:t>
      </w:r>
      <w:r w:rsidR="00F22397">
        <w:t xml:space="preserve"> and </w:t>
      </w:r>
      <w:r w:rsidR="002B28A8">
        <w:t>2)</w:t>
      </w:r>
      <w:r w:rsidR="00F22397">
        <w:t xml:space="preserve"> victim TDD DL is robust to the adjacent channel interference.</w:t>
      </w:r>
      <w:r w:rsidR="002B28A8">
        <w:t xml:space="preserve"> </w:t>
      </w:r>
      <w:r w:rsidR="00920422">
        <w:t>Lowering the grid offset results is lower ACI due to higher BS-to-UE path-loss.</w:t>
      </w:r>
    </w:p>
    <w:p w14:paraId="12AAF476" w14:textId="225700B1" w:rsidR="00F961D4" w:rsidRDefault="00F961D4" w:rsidP="00B334F7">
      <w:pPr>
        <w:pStyle w:val="Caption"/>
        <w:keepNext/>
      </w:pPr>
      <w:bookmarkStart w:id="14" w:name="_Ref146563931"/>
      <w:bookmarkStart w:id="15" w:name="_Ref146563923"/>
      <w:r>
        <w:t xml:space="preserve">Table </w:t>
      </w:r>
      <w:r>
        <w:fldChar w:fldCharType="begin"/>
      </w:r>
      <w:r>
        <w:instrText xml:space="preserve"> SEQ Table \* ARABIC </w:instrText>
      </w:r>
      <w:r>
        <w:fldChar w:fldCharType="separate"/>
      </w:r>
      <w:r w:rsidR="004D336C">
        <w:rPr>
          <w:noProof/>
        </w:rPr>
        <w:t>4</w:t>
      </w:r>
      <w:r>
        <w:fldChar w:fldCharType="end"/>
      </w:r>
      <w:bookmarkEnd w:id="14"/>
      <w:r>
        <w:t xml:space="preserve">. </w:t>
      </w:r>
      <w:bookmarkStart w:id="16" w:name="_Ref146563927"/>
      <w:r>
        <w:t xml:space="preserve">Performance summary for Case 1 </w:t>
      </w:r>
      <w:r w:rsidR="00DF4231">
        <w:t>UMi-to-UMi</w:t>
      </w:r>
      <w:r>
        <w:t xml:space="preserve"> scenario</w:t>
      </w:r>
      <w:bookmarkEnd w:id="15"/>
      <w:bookmarkEnd w:id="16"/>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910"/>
        <w:gridCol w:w="829"/>
        <w:gridCol w:w="1141"/>
        <w:gridCol w:w="829"/>
        <w:gridCol w:w="819"/>
        <w:gridCol w:w="910"/>
        <w:gridCol w:w="853"/>
        <w:gridCol w:w="850"/>
        <w:gridCol w:w="853"/>
        <w:gridCol w:w="855"/>
      </w:tblGrid>
      <w:tr w:rsidR="007E5C8B" w:rsidRPr="007E5C8B" w14:paraId="5409C8B1" w14:textId="77777777" w:rsidTr="00B334F7">
        <w:trPr>
          <w:trHeight w:val="307"/>
        </w:trPr>
        <w:tc>
          <w:tcPr>
            <w:tcW w:w="9672" w:type="dxa"/>
            <w:gridSpan w:val="11"/>
            <w:shd w:val="clear" w:color="auto" w:fill="auto"/>
            <w:vAlign w:val="center"/>
            <w:hideMark/>
          </w:tcPr>
          <w:p w14:paraId="121F40E8"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5: FR1 UMi-to-UMi</w:t>
            </w:r>
            <w:r w:rsidRPr="00B334F7">
              <w:rPr>
                <w:rFonts w:ascii="Times New Roman" w:eastAsia="Times New Roman" w:hAnsi="Times New Roman" w:cs="Times New Roman"/>
                <w:b/>
                <w:bCs/>
                <w:sz w:val="16"/>
                <w:szCs w:val="16"/>
                <w:lang w:val="en-US"/>
              </w:rPr>
              <w:br/>
              <w:t>Case 1: TDD DL as victim</w:t>
            </w:r>
          </w:p>
        </w:tc>
      </w:tr>
      <w:tr w:rsidR="007E5C8B" w:rsidRPr="007E5C8B" w14:paraId="4F211672" w14:textId="77777777" w:rsidTr="00B334F7">
        <w:trPr>
          <w:trHeight w:val="293"/>
        </w:trPr>
        <w:tc>
          <w:tcPr>
            <w:tcW w:w="849" w:type="dxa"/>
            <w:vMerge w:val="restart"/>
            <w:shd w:val="clear" w:color="auto" w:fill="auto"/>
            <w:vAlign w:val="center"/>
            <w:hideMark/>
          </w:tcPr>
          <w:p w14:paraId="166501EC" w14:textId="77777777" w:rsidR="007E5C8B" w:rsidRPr="007E5C8B" w:rsidRDefault="007E5C8B" w:rsidP="007E5C8B">
            <w:pPr>
              <w:overflowPunct/>
              <w:autoSpaceDE/>
              <w:autoSpaceDN/>
              <w:adjustRightInd/>
              <w:spacing w:after="0"/>
              <w:jc w:val="center"/>
              <w:textAlignment w:val="auto"/>
              <w:rPr>
                <w:rFonts w:ascii="Times New Roman" w:eastAsia="Times New Roman" w:hAnsi="Times New Roman" w:cs="Times New Roman"/>
                <w:b/>
                <w:bCs/>
                <w:lang w:val="en-US"/>
              </w:rPr>
            </w:pPr>
            <w:r w:rsidRPr="007E5C8B">
              <w:rPr>
                <w:rFonts w:ascii="Times New Roman" w:eastAsia="Times New Roman" w:hAnsi="Times New Roman" w:cs="Times New Roman"/>
                <w:b/>
                <w:bCs/>
                <w:lang w:val="en-US"/>
              </w:rPr>
              <w:t>Grid offset</w:t>
            </w:r>
          </w:p>
        </w:tc>
        <w:tc>
          <w:tcPr>
            <w:tcW w:w="877" w:type="dxa"/>
            <w:vMerge w:val="restart"/>
            <w:shd w:val="clear" w:color="auto" w:fill="auto"/>
            <w:vAlign w:val="center"/>
            <w:hideMark/>
          </w:tcPr>
          <w:p w14:paraId="3C07897C"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57" w:type="dxa"/>
            <w:vMerge w:val="restart"/>
            <w:shd w:val="clear" w:color="auto" w:fill="auto"/>
            <w:vAlign w:val="center"/>
            <w:hideMark/>
          </w:tcPr>
          <w:p w14:paraId="08323038"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090" w:type="dxa"/>
            <w:vMerge w:val="restart"/>
            <w:shd w:val="clear" w:color="auto" w:fill="auto"/>
            <w:vAlign w:val="center"/>
            <w:hideMark/>
          </w:tcPr>
          <w:p w14:paraId="0870837A"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57" w:type="dxa"/>
            <w:vMerge w:val="restart"/>
            <w:shd w:val="clear" w:color="auto" w:fill="auto"/>
            <w:vAlign w:val="center"/>
            <w:hideMark/>
          </w:tcPr>
          <w:p w14:paraId="5F709C76"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53" w:type="dxa"/>
            <w:vMerge w:val="restart"/>
            <w:shd w:val="clear" w:color="auto" w:fill="auto"/>
            <w:vAlign w:val="center"/>
            <w:hideMark/>
          </w:tcPr>
          <w:p w14:paraId="7E2F3D18"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877" w:type="dxa"/>
            <w:vMerge w:val="restart"/>
            <w:shd w:val="clear" w:color="auto" w:fill="auto"/>
            <w:vAlign w:val="center"/>
            <w:hideMark/>
          </w:tcPr>
          <w:p w14:paraId="7547C6F0"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1703" w:type="dxa"/>
            <w:gridSpan w:val="2"/>
            <w:vMerge w:val="restart"/>
            <w:shd w:val="clear" w:color="auto" w:fill="auto"/>
            <w:vAlign w:val="center"/>
            <w:hideMark/>
          </w:tcPr>
          <w:p w14:paraId="5DA7E3E4"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704" w:type="dxa"/>
            <w:gridSpan w:val="2"/>
            <w:vMerge w:val="restart"/>
            <w:shd w:val="clear" w:color="auto" w:fill="auto"/>
            <w:vAlign w:val="center"/>
            <w:hideMark/>
          </w:tcPr>
          <w:p w14:paraId="0CDE81AA"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7E5C8B" w:rsidRPr="007E5C8B" w14:paraId="792B88BC" w14:textId="77777777" w:rsidTr="00B334F7">
        <w:trPr>
          <w:trHeight w:val="293"/>
        </w:trPr>
        <w:tc>
          <w:tcPr>
            <w:tcW w:w="849" w:type="dxa"/>
            <w:vMerge/>
            <w:vAlign w:val="center"/>
            <w:hideMark/>
          </w:tcPr>
          <w:p w14:paraId="4366FC64" w14:textId="77777777" w:rsidR="007E5C8B" w:rsidRPr="007E5C8B" w:rsidRDefault="007E5C8B" w:rsidP="007E5C8B">
            <w:pPr>
              <w:overflowPunct/>
              <w:autoSpaceDE/>
              <w:autoSpaceDN/>
              <w:adjustRightInd/>
              <w:spacing w:after="0"/>
              <w:textAlignment w:val="auto"/>
              <w:rPr>
                <w:rFonts w:ascii="Times New Roman" w:eastAsia="Times New Roman" w:hAnsi="Times New Roman" w:cs="Times New Roman"/>
                <w:b/>
                <w:bCs/>
                <w:lang w:val="en-US"/>
              </w:rPr>
            </w:pPr>
          </w:p>
        </w:tc>
        <w:tc>
          <w:tcPr>
            <w:tcW w:w="877" w:type="dxa"/>
            <w:vMerge/>
            <w:vAlign w:val="center"/>
            <w:hideMark/>
          </w:tcPr>
          <w:p w14:paraId="60ED4E29"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57" w:type="dxa"/>
            <w:vMerge/>
            <w:vAlign w:val="center"/>
            <w:hideMark/>
          </w:tcPr>
          <w:p w14:paraId="0ADC5FD4"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090" w:type="dxa"/>
            <w:vMerge/>
            <w:vAlign w:val="center"/>
            <w:hideMark/>
          </w:tcPr>
          <w:p w14:paraId="4354EED4"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57" w:type="dxa"/>
            <w:vMerge/>
            <w:vAlign w:val="center"/>
            <w:hideMark/>
          </w:tcPr>
          <w:p w14:paraId="2C5B184E"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53" w:type="dxa"/>
            <w:vMerge/>
            <w:vAlign w:val="center"/>
            <w:hideMark/>
          </w:tcPr>
          <w:p w14:paraId="3DC02148"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7" w:type="dxa"/>
            <w:vMerge/>
            <w:vAlign w:val="center"/>
            <w:hideMark/>
          </w:tcPr>
          <w:p w14:paraId="0EC9A2CC"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03" w:type="dxa"/>
            <w:gridSpan w:val="2"/>
            <w:vMerge/>
            <w:vAlign w:val="center"/>
            <w:hideMark/>
          </w:tcPr>
          <w:p w14:paraId="68772534"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04" w:type="dxa"/>
            <w:gridSpan w:val="2"/>
            <w:vMerge/>
            <w:vAlign w:val="center"/>
            <w:hideMark/>
          </w:tcPr>
          <w:p w14:paraId="3DDB2577"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B65919" w:rsidRPr="007E5C8B" w14:paraId="4C9872E3" w14:textId="77777777" w:rsidTr="000828F4">
        <w:trPr>
          <w:trHeight w:val="293"/>
        </w:trPr>
        <w:tc>
          <w:tcPr>
            <w:tcW w:w="849" w:type="dxa"/>
            <w:vMerge/>
            <w:vAlign w:val="center"/>
            <w:hideMark/>
          </w:tcPr>
          <w:p w14:paraId="16298AD6" w14:textId="77777777" w:rsidR="007E5C8B" w:rsidRPr="007E5C8B" w:rsidRDefault="007E5C8B" w:rsidP="007E5C8B">
            <w:pPr>
              <w:overflowPunct/>
              <w:autoSpaceDE/>
              <w:autoSpaceDN/>
              <w:adjustRightInd/>
              <w:spacing w:after="0"/>
              <w:textAlignment w:val="auto"/>
              <w:rPr>
                <w:rFonts w:ascii="Times New Roman" w:eastAsia="Times New Roman" w:hAnsi="Times New Roman" w:cs="Times New Roman"/>
                <w:b/>
                <w:bCs/>
                <w:lang w:val="en-US"/>
              </w:rPr>
            </w:pPr>
          </w:p>
        </w:tc>
        <w:tc>
          <w:tcPr>
            <w:tcW w:w="877" w:type="dxa"/>
            <w:vMerge/>
            <w:vAlign w:val="center"/>
            <w:hideMark/>
          </w:tcPr>
          <w:p w14:paraId="52BFF501"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57" w:type="dxa"/>
            <w:vMerge/>
            <w:vAlign w:val="center"/>
            <w:hideMark/>
          </w:tcPr>
          <w:p w14:paraId="29270939"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090" w:type="dxa"/>
            <w:vMerge/>
            <w:vAlign w:val="center"/>
            <w:hideMark/>
          </w:tcPr>
          <w:p w14:paraId="59998BB9"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57" w:type="dxa"/>
            <w:vMerge/>
            <w:vAlign w:val="center"/>
            <w:hideMark/>
          </w:tcPr>
          <w:p w14:paraId="72922500"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53" w:type="dxa"/>
            <w:vMerge/>
            <w:vAlign w:val="center"/>
            <w:hideMark/>
          </w:tcPr>
          <w:p w14:paraId="6BA2674F"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7" w:type="dxa"/>
            <w:vMerge/>
            <w:vAlign w:val="center"/>
            <w:hideMark/>
          </w:tcPr>
          <w:p w14:paraId="50623AB5"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53" w:type="dxa"/>
            <w:shd w:val="clear" w:color="auto" w:fill="auto"/>
            <w:vAlign w:val="center"/>
            <w:hideMark/>
          </w:tcPr>
          <w:p w14:paraId="63731914"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50" w:type="dxa"/>
            <w:shd w:val="clear" w:color="auto" w:fill="auto"/>
            <w:vAlign w:val="center"/>
            <w:hideMark/>
          </w:tcPr>
          <w:p w14:paraId="5196009C"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53" w:type="dxa"/>
            <w:shd w:val="clear" w:color="auto" w:fill="auto"/>
            <w:vAlign w:val="center"/>
            <w:hideMark/>
          </w:tcPr>
          <w:p w14:paraId="02A2538A"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51" w:type="dxa"/>
            <w:shd w:val="clear" w:color="auto" w:fill="auto"/>
            <w:vAlign w:val="center"/>
            <w:hideMark/>
          </w:tcPr>
          <w:p w14:paraId="286B9A12"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E73956" w:rsidRPr="007E5C8B" w14:paraId="5449B221" w14:textId="77777777" w:rsidTr="000828F4">
        <w:trPr>
          <w:trHeight w:val="293"/>
        </w:trPr>
        <w:tc>
          <w:tcPr>
            <w:tcW w:w="849" w:type="dxa"/>
            <w:shd w:val="clear" w:color="auto" w:fill="auto"/>
            <w:vAlign w:val="center"/>
            <w:hideMark/>
          </w:tcPr>
          <w:p w14:paraId="0F7C3E31" w14:textId="77777777" w:rsidR="007E5C8B" w:rsidRPr="007E5C8B" w:rsidRDefault="007E5C8B" w:rsidP="007E5C8B">
            <w:pPr>
              <w:overflowPunct/>
              <w:autoSpaceDE/>
              <w:autoSpaceDN/>
              <w:adjustRightInd/>
              <w:spacing w:after="0"/>
              <w:jc w:val="center"/>
              <w:textAlignment w:val="auto"/>
              <w:rPr>
                <w:rFonts w:ascii="Times New Roman" w:eastAsia="Times New Roman" w:hAnsi="Times New Roman" w:cs="Times New Roman"/>
                <w:lang w:val="en-US"/>
              </w:rPr>
            </w:pPr>
            <w:r w:rsidRPr="007E5C8B">
              <w:rPr>
                <w:rFonts w:ascii="Times New Roman" w:eastAsia="Times New Roman" w:hAnsi="Times New Roman" w:cs="Times New Roman"/>
                <w:lang w:val="en-US"/>
              </w:rPr>
              <w:t>100%</w:t>
            </w:r>
          </w:p>
        </w:tc>
        <w:tc>
          <w:tcPr>
            <w:tcW w:w="877" w:type="dxa"/>
            <w:vMerge w:val="restart"/>
            <w:shd w:val="clear" w:color="auto" w:fill="auto"/>
            <w:vAlign w:val="center"/>
            <w:hideMark/>
          </w:tcPr>
          <w:p w14:paraId="2C6A9B78"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DL</w:t>
            </w:r>
          </w:p>
        </w:tc>
        <w:tc>
          <w:tcPr>
            <w:tcW w:w="857" w:type="dxa"/>
            <w:vMerge w:val="restart"/>
            <w:shd w:val="clear" w:color="auto" w:fill="auto"/>
            <w:vAlign w:val="center"/>
            <w:hideMark/>
          </w:tcPr>
          <w:p w14:paraId="10DB10E1"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DL</w:t>
            </w:r>
          </w:p>
        </w:tc>
        <w:tc>
          <w:tcPr>
            <w:tcW w:w="1090" w:type="dxa"/>
            <w:shd w:val="clear" w:color="auto" w:fill="auto"/>
            <w:vAlign w:val="center"/>
            <w:hideMark/>
          </w:tcPr>
          <w:p w14:paraId="3F2349C0"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57" w:type="dxa"/>
            <w:vMerge w:val="restart"/>
            <w:shd w:val="clear" w:color="auto" w:fill="auto"/>
            <w:vAlign w:val="center"/>
            <w:hideMark/>
          </w:tcPr>
          <w:p w14:paraId="47D12590"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46 dBm</w:t>
            </w:r>
          </w:p>
        </w:tc>
        <w:tc>
          <w:tcPr>
            <w:tcW w:w="853" w:type="dxa"/>
            <w:vMerge w:val="restart"/>
            <w:shd w:val="clear" w:color="auto" w:fill="auto"/>
            <w:vAlign w:val="center"/>
            <w:hideMark/>
          </w:tcPr>
          <w:p w14:paraId="3D9AE4D9"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77" w:type="dxa"/>
            <w:vMerge w:val="restart"/>
            <w:shd w:val="clear" w:color="auto" w:fill="auto"/>
            <w:vAlign w:val="center"/>
            <w:hideMark/>
          </w:tcPr>
          <w:p w14:paraId="7A4A2302"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46 dBm</w:t>
            </w:r>
          </w:p>
        </w:tc>
        <w:tc>
          <w:tcPr>
            <w:tcW w:w="853" w:type="dxa"/>
            <w:shd w:val="clear" w:color="auto" w:fill="auto"/>
            <w:noWrap/>
            <w:vAlign w:val="center"/>
            <w:hideMark/>
          </w:tcPr>
          <w:p w14:paraId="092DFD30"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0.57</w:t>
            </w:r>
          </w:p>
        </w:tc>
        <w:tc>
          <w:tcPr>
            <w:tcW w:w="850" w:type="dxa"/>
            <w:shd w:val="clear" w:color="auto" w:fill="auto"/>
            <w:noWrap/>
            <w:vAlign w:val="center"/>
            <w:hideMark/>
          </w:tcPr>
          <w:p w14:paraId="4456DED9"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0.11</w:t>
            </w:r>
          </w:p>
        </w:tc>
        <w:tc>
          <w:tcPr>
            <w:tcW w:w="853" w:type="dxa"/>
            <w:shd w:val="clear" w:color="000000" w:fill="FFC7CE"/>
            <w:noWrap/>
            <w:vAlign w:val="center"/>
            <w:hideMark/>
          </w:tcPr>
          <w:p w14:paraId="53AFFE73"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9.1</w:t>
            </w:r>
          </w:p>
        </w:tc>
        <w:tc>
          <w:tcPr>
            <w:tcW w:w="851" w:type="dxa"/>
            <w:shd w:val="clear" w:color="auto" w:fill="auto"/>
            <w:noWrap/>
            <w:vAlign w:val="center"/>
            <w:hideMark/>
          </w:tcPr>
          <w:p w14:paraId="21C176E4"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1.34</w:t>
            </w:r>
          </w:p>
        </w:tc>
      </w:tr>
      <w:tr w:rsidR="00B65919" w:rsidRPr="007E5C8B" w14:paraId="6527BD1B" w14:textId="77777777" w:rsidTr="000828F4">
        <w:trPr>
          <w:trHeight w:val="293"/>
        </w:trPr>
        <w:tc>
          <w:tcPr>
            <w:tcW w:w="849" w:type="dxa"/>
            <w:shd w:val="clear" w:color="auto" w:fill="auto"/>
            <w:vAlign w:val="center"/>
            <w:hideMark/>
          </w:tcPr>
          <w:p w14:paraId="2A437F7F" w14:textId="77777777" w:rsidR="007E5C8B" w:rsidRPr="007E5C8B" w:rsidRDefault="007E5C8B" w:rsidP="007E5C8B">
            <w:pPr>
              <w:overflowPunct/>
              <w:autoSpaceDE/>
              <w:autoSpaceDN/>
              <w:adjustRightInd/>
              <w:spacing w:after="0"/>
              <w:jc w:val="center"/>
              <w:textAlignment w:val="auto"/>
              <w:rPr>
                <w:rFonts w:ascii="Times New Roman" w:eastAsia="Times New Roman" w:hAnsi="Times New Roman" w:cs="Times New Roman"/>
                <w:lang w:val="en-US"/>
              </w:rPr>
            </w:pPr>
            <w:r w:rsidRPr="007E5C8B">
              <w:rPr>
                <w:rFonts w:ascii="Times New Roman" w:eastAsia="Times New Roman" w:hAnsi="Times New Roman" w:cs="Times New Roman"/>
                <w:lang w:val="en-US"/>
              </w:rPr>
              <w:t>10%</w:t>
            </w:r>
          </w:p>
        </w:tc>
        <w:tc>
          <w:tcPr>
            <w:tcW w:w="877" w:type="dxa"/>
            <w:vMerge/>
            <w:vAlign w:val="center"/>
            <w:hideMark/>
          </w:tcPr>
          <w:p w14:paraId="7A7EE700"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7" w:type="dxa"/>
            <w:vMerge/>
            <w:vAlign w:val="center"/>
            <w:hideMark/>
          </w:tcPr>
          <w:p w14:paraId="7170F038"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90" w:type="dxa"/>
            <w:shd w:val="clear" w:color="auto" w:fill="auto"/>
            <w:vAlign w:val="center"/>
            <w:hideMark/>
          </w:tcPr>
          <w:p w14:paraId="14BC930D"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57" w:type="dxa"/>
            <w:vMerge/>
            <w:vAlign w:val="center"/>
            <w:hideMark/>
          </w:tcPr>
          <w:p w14:paraId="21621332"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3" w:type="dxa"/>
            <w:vMerge/>
            <w:vAlign w:val="center"/>
            <w:hideMark/>
          </w:tcPr>
          <w:p w14:paraId="4A8724DA"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7" w:type="dxa"/>
            <w:vMerge/>
            <w:vAlign w:val="center"/>
            <w:hideMark/>
          </w:tcPr>
          <w:p w14:paraId="3D9DA82C"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3" w:type="dxa"/>
            <w:shd w:val="clear" w:color="auto" w:fill="auto"/>
            <w:noWrap/>
            <w:vAlign w:val="center"/>
            <w:hideMark/>
          </w:tcPr>
          <w:p w14:paraId="644965D1"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0.24</w:t>
            </w:r>
          </w:p>
        </w:tc>
        <w:tc>
          <w:tcPr>
            <w:tcW w:w="850" w:type="dxa"/>
            <w:shd w:val="clear" w:color="auto" w:fill="auto"/>
            <w:noWrap/>
            <w:vAlign w:val="center"/>
            <w:hideMark/>
          </w:tcPr>
          <w:p w14:paraId="6ED3E7DA"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0.09</w:t>
            </w:r>
          </w:p>
        </w:tc>
        <w:tc>
          <w:tcPr>
            <w:tcW w:w="853" w:type="dxa"/>
            <w:shd w:val="clear" w:color="auto" w:fill="auto"/>
            <w:noWrap/>
            <w:vAlign w:val="center"/>
            <w:hideMark/>
          </w:tcPr>
          <w:p w14:paraId="527289BC"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3.83</w:t>
            </w:r>
          </w:p>
        </w:tc>
        <w:tc>
          <w:tcPr>
            <w:tcW w:w="851" w:type="dxa"/>
            <w:shd w:val="clear" w:color="auto" w:fill="auto"/>
            <w:noWrap/>
            <w:vAlign w:val="center"/>
            <w:hideMark/>
          </w:tcPr>
          <w:p w14:paraId="0F1ACEBC"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0.84</w:t>
            </w:r>
          </w:p>
        </w:tc>
      </w:tr>
      <w:tr w:rsidR="00E73956" w:rsidRPr="007E5C8B" w14:paraId="4BF12236" w14:textId="77777777" w:rsidTr="000828F4">
        <w:trPr>
          <w:trHeight w:val="498"/>
        </w:trPr>
        <w:tc>
          <w:tcPr>
            <w:tcW w:w="849" w:type="dxa"/>
            <w:shd w:val="clear" w:color="auto" w:fill="auto"/>
            <w:vAlign w:val="center"/>
            <w:hideMark/>
          </w:tcPr>
          <w:p w14:paraId="408E9504" w14:textId="77777777" w:rsidR="007E5C8B" w:rsidRPr="007E5C8B" w:rsidRDefault="007E5C8B" w:rsidP="007E5C8B">
            <w:pPr>
              <w:overflowPunct/>
              <w:autoSpaceDE/>
              <w:autoSpaceDN/>
              <w:adjustRightInd/>
              <w:spacing w:after="0"/>
              <w:jc w:val="center"/>
              <w:textAlignment w:val="auto"/>
              <w:rPr>
                <w:rFonts w:ascii="Times New Roman" w:eastAsia="Times New Roman" w:hAnsi="Times New Roman" w:cs="Times New Roman"/>
                <w:lang w:val="en-US"/>
              </w:rPr>
            </w:pPr>
            <w:r w:rsidRPr="007E5C8B">
              <w:rPr>
                <w:rFonts w:ascii="Times New Roman" w:eastAsia="Times New Roman" w:hAnsi="Times New Roman" w:cs="Times New Roman"/>
                <w:lang w:val="en-US"/>
              </w:rPr>
              <w:t>100%</w:t>
            </w:r>
          </w:p>
        </w:tc>
        <w:tc>
          <w:tcPr>
            <w:tcW w:w="877" w:type="dxa"/>
            <w:vMerge w:val="restart"/>
            <w:shd w:val="clear" w:color="auto" w:fill="auto"/>
            <w:vAlign w:val="center"/>
            <w:hideMark/>
          </w:tcPr>
          <w:p w14:paraId="38F79CFC"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w:t>
            </w:r>
          </w:p>
        </w:tc>
        <w:tc>
          <w:tcPr>
            <w:tcW w:w="857" w:type="dxa"/>
            <w:vMerge/>
            <w:vAlign w:val="center"/>
            <w:hideMark/>
          </w:tcPr>
          <w:p w14:paraId="0E4E43EB"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90" w:type="dxa"/>
            <w:shd w:val="clear" w:color="auto" w:fill="auto"/>
            <w:vAlign w:val="center"/>
            <w:hideMark/>
          </w:tcPr>
          <w:p w14:paraId="6B905613"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Same gain as TDD</w:t>
            </w:r>
          </w:p>
        </w:tc>
        <w:tc>
          <w:tcPr>
            <w:tcW w:w="857" w:type="dxa"/>
            <w:vMerge/>
            <w:vAlign w:val="center"/>
            <w:hideMark/>
          </w:tcPr>
          <w:p w14:paraId="1B431097"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3" w:type="dxa"/>
            <w:vMerge/>
            <w:vAlign w:val="center"/>
            <w:hideMark/>
          </w:tcPr>
          <w:p w14:paraId="76E023BB"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7" w:type="dxa"/>
            <w:vMerge w:val="restart"/>
            <w:shd w:val="clear" w:color="auto" w:fill="auto"/>
            <w:vAlign w:val="center"/>
            <w:hideMark/>
          </w:tcPr>
          <w:p w14:paraId="0FC7A397"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46 dBm</w:t>
            </w:r>
          </w:p>
        </w:tc>
        <w:tc>
          <w:tcPr>
            <w:tcW w:w="853" w:type="dxa"/>
            <w:shd w:val="clear" w:color="auto" w:fill="auto"/>
            <w:noWrap/>
            <w:vAlign w:val="center"/>
            <w:hideMark/>
          </w:tcPr>
          <w:p w14:paraId="78DB85A2"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0.53</w:t>
            </w:r>
          </w:p>
        </w:tc>
        <w:tc>
          <w:tcPr>
            <w:tcW w:w="850" w:type="dxa"/>
            <w:shd w:val="clear" w:color="auto" w:fill="auto"/>
            <w:noWrap/>
            <w:vAlign w:val="center"/>
            <w:hideMark/>
          </w:tcPr>
          <w:p w14:paraId="18A29762"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0.17</w:t>
            </w:r>
          </w:p>
        </w:tc>
        <w:tc>
          <w:tcPr>
            <w:tcW w:w="853" w:type="dxa"/>
            <w:shd w:val="clear" w:color="000000" w:fill="FFC7CE"/>
            <w:noWrap/>
            <w:vAlign w:val="center"/>
            <w:hideMark/>
          </w:tcPr>
          <w:p w14:paraId="30964413"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8.48</w:t>
            </w:r>
          </w:p>
        </w:tc>
        <w:tc>
          <w:tcPr>
            <w:tcW w:w="851" w:type="dxa"/>
            <w:shd w:val="clear" w:color="auto" w:fill="auto"/>
            <w:noWrap/>
            <w:vAlign w:val="center"/>
            <w:hideMark/>
          </w:tcPr>
          <w:p w14:paraId="0FBE4C98"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1.3</w:t>
            </w:r>
          </w:p>
        </w:tc>
      </w:tr>
      <w:tr w:rsidR="00B65919" w:rsidRPr="007E5C8B" w14:paraId="71248007" w14:textId="77777777" w:rsidTr="000828F4">
        <w:trPr>
          <w:trHeight w:val="498"/>
        </w:trPr>
        <w:tc>
          <w:tcPr>
            <w:tcW w:w="849" w:type="dxa"/>
            <w:shd w:val="clear" w:color="auto" w:fill="auto"/>
            <w:vAlign w:val="center"/>
            <w:hideMark/>
          </w:tcPr>
          <w:p w14:paraId="7CBA568B" w14:textId="77777777" w:rsidR="007E5C8B" w:rsidRPr="007E5C8B" w:rsidRDefault="007E5C8B" w:rsidP="007E5C8B">
            <w:pPr>
              <w:overflowPunct/>
              <w:autoSpaceDE/>
              <w:autoSpaceDN/>
              <w:adjustRightInd/>
              <w:spacing w:after="0"/>
              <w:jc w:val="center"/>
              <w:textAlignment w:val="auto"/>
              <w:rPr>
                <w:rFonts w:ascii="Times New Roman" w:eastAsia="Times New Roman" w:hAnsi="Times New Roman" w:cs="Times New Roman"/>
                <w:lang w:val="en-US"/>
              </w:rPr>
            </w:pPr>
            <w:r w:rsidRPr="007E5C8B">
              <w:rPr>
                <w:rFonts w:ascii="Times New Roman" w:eastAsia="Times New Roman" w:hAnsi="Times New Roman" w:cs="Times New Roman"/>
                <w:lang w:val="en-US"/>
              </w:rPr>
              <w:t>10%</w:t>
            </w:r>
          </w:p>
        </w:tc>
        <w:tc>
          <w:tcPr>
            <w:tcW w:w="877" w:type="dxa"/>
            <w:vMerge/>
            <w:vAlign w:val="center"/>
            <w:hideMark/>
          </w:tcPr>
          <w:p w14:paraId="1397060A"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7" w:type="dxa"/>
            <w:vMerge/>
            <w:vAlign w:val="center"/>
            <w:hideMark/>
          </w:tcPr>
          <w:p w14:paraId="23CF64B5"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90" w:type="dxa"/>
            <w:shd w:val="clear" w:color="auto" w:fill="auto"/>
            <w:vAlign w:val="center"/>
            <w:hideMark/>
          </w:tcPr>
          <w:p w14:paraId="66573AA2" w14:textId="77777777" w:rsidR="007E5C8B" w:rsidRPr="00B334F7" w:rsidRDefault="007E5C8B" w:rsidP="007E5C8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Same gain as TDD</w:t>
            </w:r>
          </w:p>
        </w:tc>
        <w:tc>
          <w:tcPr>
            <w:tcW w:w="857" w:type="dxa"/>
            <w:vMerge/>
            <w:vAlign w:val="center"/>
            <w:hideMark/>
          </w:tcPr>
          <w:p w14:paraId="3B71529C"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3" w:type="dxa"/>
            <w:vMerge/>
            <w:vAlign w:val="center"/>
            <w:hideMark/>
          </w:tcPr>
          <w:p w14:paraId="057B0AE2"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7" w:type="dxa"/>
            <w:vMerge/>
            <w:vAlign w:val="center"/>
            <w:hideMark/>
          </w:tcPr>
          <w:p w14:paraId="5C5D3C45" w14:textId="77777777" w:rsidR="007E5C8B" w:rsidRPr="00B334F7" w:rsidRDefault="007E5C8B" w:rsidP="007E5C8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53" w:type="dxa"/>
            <w:shd w:val="clear" w:color="auto" w:fill="auto"/>
            <w:noWrap/>
            <w:vAlign w:val="center"/>
            <w:hideMark/>
          </w:tcPr>
          <w:p w14:paraId="7FDDF76F"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0.24</w:t>
            </w:r>
          </w:p>
        </w:tc>
        <w:tc>
          <w:tcPr>
            <w:tcW w:w="850" w:type="dxa"/>
            <w:shd w:val="clear" w:color="auto" w:fill="auto"/>
            <w:noWrap/>
            <w:vAlign w:val="center"/>
            <w:hideMark/>
          </w:tcPr>
          <w:p w14:paraId="016A4B66"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0.15</w:t>
            </w:r>
          </w:p>
        </w:tc>
        <w:tc>
          <w:tcPr>
            <w:tcW w:w="853" w:type="dxa"/>
            <w:shd w:val="clear" w:color="auto" w:fill="auto"/>
            <w:noWrap/>
            <w:vAlign w:val="center"/>
            <w:hideMark/>
          </w:tcPr>
          <w:p w14:paraId="65DB3516"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3.85</w:t>
            </w:r>
          </w:p>
        </w:tc>
        <w:tc>
          <w:tcPr>
            <w:tcW w:w="851" w:type="dxa"/>
            <w:shd w:val="clear" w:color="auto" w:fill="auto"/>
            <w:noWrap/>
            <w:vAlign w:val="center"/>
            <w:hideMark/>
          </w:tcPr>
          <w:p w14:paraId="25906D34" w14:textId="77777777" w:rsidR="007E5C8B" w:rsidRPr="00B334F7" w:rsidRDefault="007E5C8B" w:rsidP="007E5C8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0.89</w:t>
            </w:r>
          </w:p>
        </w:tc>
      </w:tr>
    </w:tbl>
    <w:p w14:paraId="537C897A" w14:textId="77777777" w:rsidR="0031330F" w:rsidRDefault="0031330F" w:rsidP="003643CB"/>
    <w:p w14:paraId="6F3C68E6" w14:textId="5458BC8E" w:rsidR="003643CB" w:rsidRDefault="003643CB" w:rsidP="003643CB">
      <w:r>
        <w:lastRenderedPageBreak/>
        <w:t>Based on the presented</w:t>
      </w:r>
      <w:r w:rsidR="006B6518">
        <w:t xml:space="preserve"> results</w:t>
      </w:r>
      <w:r>
        <w:t xml:space="preserve">, we conclude the following on the coexistence </w:t>
      </w:r>
      <w:r w:rsidR="00F761C5">
        <w:t>for this scenario and case</w:t>
      </w:r>
      <w:r>
        <w:t>:</w:t>
      </w:r>
    </w:p>
    <w:p w14:paraId="20E5DD6A" w14:textId="56D3C460" w:rsidR="0088355F" w:rsidRDefault="0088355F" w:rsidP="003643CB">
      <w:r w:rsidRPr="00B10AC6">
        <w:rPr>
          <w:b/>
          <w:bCs/>
        </w:rPr>
        <w:t xml:space="preserve">Proposal </w:t>
      </w:r>
      <w:r w:rsidR="0075382C">
        <w:rPr>
          <w:b/>
          <w:bCs/>
        </w:rPr>
        <w:t>5</w:t>
      </w:r>
      <w:r w:rsidRPr="00B10AC6">
        <w:rPr>
          <w:b/>
          <w:bCs/>
        </w:rPr>
        <w:t xml:space="preserve">: The performance degradation for </w:t>
      </w:r>
      <w:r w:rsidR="00DA2D23">
        <w:rPr>
          <w:b/>
          <w:bCs/>
        </w:rPr>
        <w:t>UMi-to-UMi</w:t>
      </w:r>
      <w:r>
        <w:rPr>
          <w:b/>
          <w:bCs/>
        </w:rPr>
        <w:t xml:space="preserve"> Ca</w:t>
      </w:r>
      <w:r w:rsidRPr="00B10AC6">
        <w:rPr>
          <w:b/>
          <w:bCs/>
        </w:rPr>
        <w:t>se 1 is acceptable for both TDD DL and SBFD aggressor technologies.</w:t>
      </w:r>
    </w:p>
    <w:p w14:paraId="071DF0C8" w14:textId="110B7370" w:rsidR="00A53A07" w:rsidRDefault="00A53A07" w:rsidP="00A53A07">
      <w:pPr>
        <w:pStyle w:val="Heading4"/>
        <w:rPr>
          <w:lang w:val="en-US"/>
        </w:rPr>
      </w:pPr>
      <w:r w:rsidRPr="00FC6DDC">
        <w:rPr>
          <w:lang w:val="en-US"/>
        </w:rPr>
        <w:t>3.1.4 Scenario 6: FR2</w:t>
      </w:r>
      <w:r w:rsidR="004E4933" w:rsidRPr="00FC6DDC">
        <w:rPr>
          <w:lang w:val="en-US"/>
        </w:rPr>
        <w:t>-1</w:t>
      </w:r>
      <w:r w:rsidRPr="00FC6DDC">
        <w:rPr>
          <w:lang w:val="en-US"/>
        </w:rPr>
        <w:t xml:space="preserve"> U</w:t>
      </w:r>
      <w:r w:rsidR="004D0D2F" w:rsidRPr="00FC6DDC">
        <w:rPr>
          <w:lang w:val="en-US"/>
        </w:rPr>
        <w:t>rban Macro</w:t>
      </w:r>
    </w:p>
    <w:p w14:paraId="19F03FE3" w14:textId="0B4F5BA4" w:rsidR="004E4933" w:rsidRDefault="00D8255D" w:rsidP="00B82978">
      <w:pPr>
        <w:rPr>
          <w:lang w:val="en-US"/>
        </w:rPr>
      </w:pPr>
      <w:r>
        <w:rPr>
          <w:lang w:val="en-US"/>
        </w:rPr>
        <w:fldChar w:fldCharType="begin"/>
      </w:r>
      <w:r>
        <w:rPr>
          <w:lang w:val="en-US"/>
        </w:rPr>
        <w:instrText xml:space="preserve"> REF _Ref146603631 \h </w:instrText>
      </w:r>
      <w:r>
        <w:rPr>
          <w:lang w:val="en-US"/>
        </w:rPr>
      </w:r>
      <w:r>
        <w:rPr>
          <w:lang w:val="en-US"/>
        </w:rPr>
        <w:fldChar w:fldCharType="separate"/>
      </w:r>
      <w:r w:rsidR="004D336C">
        <w:t xml:space="preserve">Figure </w:t>
      </w:r>
      <w:r w:rsidR="004D336C">
        <w:rPr>
          <w:noProof/>
        </w:rPr>
        <w:t>5</w:t>
      </w:r>
      <w:r>
        <w:rPr>
          <w:lang w:val="en-US"/>
        </w:rPr>
        <w:fldChar w:fldCharType="end"/>
      </w:r>
      <w:r>
        <w:rPr>
          <w:lang w:val="en-US"/>
        </w:rPr>
        <w:t xml:space="preserve"> </w:t>
      </w:r>
      <w:r w:rsidR="00B82978" w:rsidRPr="005B4A37">
        <w:rPr>
          <w:lang w:val="en-US"/>
        </w:rPr>
        <w:t xml:space="preserve">shows the </w:t>
      </w:r>
      <w:r w:rsidR="00B82978">
        <w:rPr>
          <w:lang w:val="en-US"/>
        </w:rPr>
        <w:t xml:space="preserve">victim </w:t>
      </w:r>
      <w:r w:rsidR="00B82978" w:rsidRPr="005B4A37">
        <w:rPr>
          <w:lang w:val="en-US"/>
        </w:rPr>
        <w:t>DL SINR at 5</w:t>
      </w:r>
      <w:r w:rsidR="00B82978" w:rsidRPr="00EF7212">
        <w:rPr>
          <w:vertAlign w:val="superscript"/>
          <w:lang w:val="en-US"/>
        </w:rPr>
        <w:t>th</w:t>
      </w:r>
      <w:r w:rsidR="00B82978" w:rsidRPr="005B4A37">
        <w:rPr>
          <w:lang w:val="en-US"/>
        </w:rPr>
        <w:t xml:space="preserve"> and 50</w:t>
      </w:r>
      <w:r w:rsidR="00B82978" w:rsidRPr="00EF7212">
        <w:rPr>
          <w:vertAlign w:val="superscript"/>
          <w:lang w:val="en-US"/>
        </w:rPr>
        <w:t>th</w:t>
      </w:r>
      <w:r w:rsidR="00B82978" w:rsidRPr="005B4A37">
        <w:rPr>
          <w:lang w:val="en-US"/>
        </w:rPr>
        <w:t xml:space="preserve"> percentiles </w:t>
      </w:r>
      <w:r w:rsidR="00B82978">
        <w:rPr>
          <w:lang w:val="en-US"/>
        </w:rPr>
        <w:t>and the victim DL throughput at 5</w:t>
      </w:r>
      <w:r w:rsidR="00B82978" w:rsidRPr="009703BE">
        <w:rPr>
          <w:vertAlign w:val="superscript"/>
          <w:lang w:val="en-US"/>
        </w:rPr>
        <w:t>th</w:t>
      </w:r>
      <w:r w:rsidR="00B82978">
        <w:rPr>
          <w:lang w:val="en-US"/>
        </w:rPr>
        <w:t xml:space="preserve"> percentile and average. The figure includes</w:t>
      </w:r>
      <w:r w:rsidR="00B82978" w:rsidRPr="005B4A37">
        <w:rPr>
          <w:lang w:val="en-US"/>
        </w:rPr>
        <w:t xml:space="preserve"> cases </w:t>
      </w:r>
      <w:r w:rsidR="00B82978">
        <w:rPr>
          <w:lang w:val="en-US"/>
        </w:rPr>
        <w:t>with</w:t>
      </w:r>
      <w:r w:rsidR="00B82978" w:rsidRPr="005B4A37">
        <w:rPr>
          <w:lang w:val="en-US"/>
        </w:rPr>
        <w:t xml:space="preserve"> no </w:t>
      </w:r>
      <w:r w:rsidR="00B82978">
        <w:rPr>
          <w:lang w:val="en-US"/>
        </w:rPr>
        <w:t>adjacent channel interference (ACI)</w:t>
      </w:r>
      <w:r w:rsidR="00B82978" w:rsidRPr="005B4A37">
        <w:rPr>
          <w:lang w:val="en-US"/>
        </w:rPr>
        <w:t>, and when ACI is generated by TDD DL or SBFD</w:t>
      </w:r>
      <w:r w:rsidR="00B82978">
        <w:rPr>
          <w:lang w:val="en-US"/>
        </w:rPr>
        <w:t xml:space="preserve">. </w:t>
      </w:r>
      <w:r w:rsidR="00AF4557">
        <w:rPr>
          <w:lang w:val="en-US"/>
        </w:rPr>
        <w:t xml:space="preserve">We observe very </w:t>
      </w:r>
      <w:r w:rsidR="0042196D">
        <w:rPr>
          <w:lang w:val="en-US"/>
        </w:rPr>
        <w:t>minor degradation of the DL SINR and throughput for the cases shown in the figure.</w:t>
      </w:r>
      <w:r w:rsidR="00930DED">
        <w:rPr>
          <w:lang w:val="en-US"/>
        </w:rPr>
        <w:t xml:space="preserve"> TDD DL and SBFD provide very similar </w:t>
      </w:r>
      <w:r w:rsidR="00BB1D31">
        <w:rPr>
          <w:lang w:val="en-US"/>
        </w:rPr>
        <w:t>performance, which highlights that the UE-to-UE ACI is not a problem</w:t>
      </w:r>
      <w:r w:rsidR="00FA4988">
        <w:rPr>
          <w:lang w:val="en-US"/>
        </w:rPr>
        <w:t xml:space="preserve"> for the coexistence in this scenario and case.</w:t>
      </w:r>
      <w:r w:rsidR="00376C43">
        <w:rPr>
          <w:lang w:val="en-US"/>
        </w:rPr>
        <w:t xml:space="preserve"> Adopting antenna configuration 1 or 2 </w:t>
      </w:r>
      <w:r w:rsidR="00C851DA">
        <w:rPr>
          <w:lang w:val="en-US"/>
        </w:rPr>
        <w:t xml:space="preserve">in SBFD </w:t>
      </w:r>
      <w:r w:rsidR="00446E0A">
        <w:rPr>
          <w:lang w:val="en-US"/>
        </w:rPr>
        <w:t>results in</w:t>
      </w:r>
      <w:r w:rsidR="00376C43">
        <w:rPr>
          <w:lang w:val="en-US"/>
        </w:rPr>
        <w:t xml:space="preserve"> similar performance too.</w:t>
      </w:r>
    </w:p>
    <w:p w14:paraId="0E437536" w14:textId="51E037DC" w:rsidR="00CA2F56" w:rsidRDefault="005136C9" w:rsidP="00B334F7">
      <w:pPr>
        <w:keepNext/>
        <w:jc w:val="center"/>
      </w:pPr>
      <w:r w:rsidRPr="005136C9">
        <w:rPr>
          <w:noProof/>
        </w:rPr>
        <w:drawing>
          <wp:inline distT="0" distB="0" distL="0" distR="0" wp14:anchorId="278A5B0A" wp14:editId="613C2034">
            <wp:extent cx="5208104" cy="3816626"/>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7">
                      <a:extLst>
                        <a:ext uri="{28A0092B-C50C-407E-A947-70E740481C1C}">
                          <a14:useLocalDpi xmlns:a14="http://schemas.microsoft.com/office/drawing/2010/main" val="0"/>
                        </a:ext>
                      </a:extLst>
                    </a:blip>
                    <a:srcRect l="7019" t="1555" r="7809" b="5088"/>
                    <a:stretch/>
                  </pic:blipFill>
                  <pic:spPr bwMode="auto">
                    <a:xfrm>
                      <a:off x="0" y="0"/>
                      <a:ext cx="5208783" cy="3817124"/>
                    </a:xfrm>
                    <a:prstGeom prst="rect">
                      <a:avLst/>
                    </a:prstGeom>
                    <a:noFill/>
                    <a:ln>
                      <a:noFill/>
                    </a:ln>
                    <a:extLst>
                      <a:ext uri="{53640926-AAD7-44D8-BBD7-CCE9431645EC}">
                        <a14:shadowObscured xmlns:a14="http://schemas.microsoft.com/office/drawing/2010/main"/>
                      </a:ext>
                    </a:extLst>
                  </pic:spPr>
                </pic:pic>
              </a:graphicData>
            </a:graphic>
          </wp:inline>
        </w:drawing>
      </w:r>
    </w:p>
    <w:p w14:paraId="125DF514" w14:textId="0DAA3B9F" w:rsidR="00CA2F56" w:rsidRPr="009D3E26" w:rsidRDefault="00CA2F56" w:rsidP="00CA2F56">
      <w:pPr>
        <w:pStyle w:val="Caption"/>
        <w:jc w:val="center"/>
      </w:pPr>
      <w:bookmarkStart w:id="17" w:name="_Ref146603631"/>
      <w:bookmarkStart w:id="18" w:name="_Ref146603626"/>
      <w:r>
        <w:t xml:space="preserve">Figure </w:t>
      </w:r>
      <w:r>
        <w:fldChar w:fldCharType="begin"/>
      </w:r>
      <w:r>
        <w:instrText xml:space="preserve"> SEQ Figure \* ARABIC </w:instrText>
      </w:r>
      <w:r>
        <w:fldChar w:fldCharType="separate"/>
      </w:r>
      <w:r w:rsidR="004D336C">
        <w:rPr>
          <w:noProof/>
        </w:rPr>
        <w:t>5</w:t>
      </w:r>
      <w:r>
        <w:fldChar w:fldCharType="end"/>
      </w:r>
      <w:bookmarkEnd w:id="17"/>
      <w:r>
        <w:t>. Comparison of DL SINR and DL throughput for Case 1 Urban Macro FR2-1</w:t>
      </w:r>
      <w:r w:rsidR="001F328C">
        <w:t xml:space="preserve"> scenario</w:t>
      </w:r>
      <w:bookmarkEnd w:id="18"/>
    </w:p>
    <w:p w14:paraId="79655BBD" w14:textId="398FAF3F" w:rsidR="00F4095C" w:rsidRDefault="00F4095C" w:rsidP="00B334F7">
      <w:pPr>
        <w:pStyle w:val="Caption"/>
        <w:jc w:val="center"/>
        <w:rPr>
          <w:lang w:val="en-US"/>
        </w:rPr>
      </w:pPr>
    </w:p>
    <w:p w14:paraId="1AF1D5BB" w14:textId="5AD1C558" w:rsidR="00FA4988" w:rsidRDefault="00CB72DA" w:rsidP="00FA4988">
      <w:r>
        <w:fldChar w:fldCharType="begin"/>
      </w:r>
      <w:r>
        <w:instrText xml:space="preserve"> REF _Ref146604129 \h </w:instrText>
      </w:r>
      <w:r>
        <w:fldChar w:fldCharType="separate"/>
      </w:r>
      <w:r w:rsidR="004D336C">
        <w:t xml:space="preserve">Table </w:t>
      </w:r>
      <w:r w:rsidR="004D336C">
        <w:rPr>
          <w:noProof/>
        </w:rPr>
        <w:t>5</w:t>
      </w:r>
      <w:r>
        <w:fldChar w:fldCharType="end"/>
      </w:r>
      <w:r>
        <w:t xml:space="preserve"> </w:t>
      </w:r>
      <w:r w:rsidR="00FA4988">
        <w:t xml:space="preserve">shows the performance summary of this scenario, including results for 100% and 10% grid offsets. The throughput degradation values above 5% are highlighted with red to show the cases where the performance is not acceptable. </w:t>
      </w:r>
      <w:r w:rsidR="00AF2560">
        <w:t xml:space="preserve">The main learning is that the grid shift impacts the </w:t>
      </w:r>
      <w:r w:rsidR="003D3761">
        <w:t xml:space="preserve">coexistence since 10% grid offset shows higher SINR degradation than 100% offset for any of the considered </w:t>
      </w:r>
      <w:r w:rsidR="008A3EA4">
        <w:t xml:space="preserve">aggressors and antenna configurations. </w:t>
      </w:r>
      <w:r w:rsidR="000A6136">
        <w:t xml:space="preserve">In any case, the performance it acceptable </w:t>
      </w:r>
      <w:r w:rsidR="008E4502">
        <w:t>if the average throughput is used as reference.</w:t>
      </w:r>
    </w:p>
    <w:p w14:paraId="03544C2C" w14:textId="2334D084" w:rsidR="00EF5501" w:rsidRDefault="00EF5501" w:rsidP="00B334F7">
      <w:pPr>
        <w:pStyle w:val="Caption"/>
        <w:keepNext/>
      </w:pPr>
      <w:bookmarkStart w:id="19" w:name="_Ref146604129"/>
      <w:r>
        <w:t xml:space="preserve">Table </w:t>
      </w:r>
      <w:r>
        <w:fldChar w:fldCharType="begin"/>
      </w:r>
      <w:r>
        <w:instrText xml:space="preserve"> SEQ Table \* ARABIC </w:instrText>
      </w:r>
      <w:r>
        <w:fldChar w:fldCharType="separate"/>
      </w:r>
      <w:r w:rsidR="004D336C">
        <w:rPr>
          <w:noProof/>
        </w:rPr>
        <w:t>5</w:t>
      </w:r>
      <w:r>
        <w:fldChar w:fldCharType="end"/>
      </w:r>
      <w:bookmarkEnd w:id="19"/>
      <w:r>
        <w:t>. Performance summary for Case 1 Urban Macro FR2-1 scenario</w:t>
      </w:r>
    </w:p>
    <w:tbl>
      <w:tblPr>
        <w:tblW w:w="10052" w:type="dxa"/>
        <w:tblLook w:val="04A0" w:firstRow="1" w:lastRow="0" w:firstColumn="1" w:lastColumn="0" w:noHBand="0" w:noVBand="1"/>
      </w:tblPr>
      <w:tblGrid>
        <w:gridCol w:w="879"/>
        <w:gridCol w:w="912"/>
        <w:gridCol w:w="889"/>
        <w:gridCol w:w="1141"/>
        <w:gridCol w:w="889"/>
        <w:gridCol w:w="885"/>
        <w:gridCol w:w="912"/>
        <w:gridCol w:w="887"/>
        <w:gridCol w:w="883"/>
        <w:gridCol w:w="888"/>
        <w:gridCol w:w="887"/>
      </w:tblGrid>
      <w:tr w:rsidR="0093367F" w:rsidRPr="0093367F" w14:paraId="7332C62E" w14:textId="77777777" w:rsidTr="00B334F7">
        <w:trPr>
          <w:trHeight w:val="313"/>
        </w:trPr>
        <w:tc>
          <w:tcPr>
            <w:tcW w:w="10052"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14:paraId="4A09C0B5"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6: FR2-1 Urban Macro</w:t>
            </w:r>
            <w:r w:rsidRPr="00B334F7">
              <w:rPr>
                <w:rFonts w:ascii="Times New Roman" w:eastAsia="Times New Roman" w:hAnsi="Times New Roman" w:cs="Times New Roman"/>
                <w:b/>
                <w:bCs/>
                <w:sz w:val="16"/>
                <w:szCs w:val="16"/>
                <w:lang w:val="en-US"/>
              </w:rPr>
              <w:br/>
              <w:t>Case 1: TDD DL as victim</w:t>
            </w:r>
          </w:p>
        </w:tc>
      </w:tr>
      <w:tr w:rsidR="0093367F" w:rsidRPr="0093367F" w14:paraId="69BDB9F2" w14:textId="77777777" w:rsidTr="0093367F">
        <w:trPr>
          <w:trHeight w:val="298"/>
        </w:trPr>
        <w:tc>
          <w:tcPr>
            <w:tcW w:w="882" w:type="dxa"/>
            <w:vMerge w:val="restart"/>
            <w:tcBorders>
              <w:top w:val="nil"/>
              <w:left w:val="single" w:sz="4" w:space="0" w:color="auto"/>
              <w:bottom w:val="single" w:sz="4" w:space="0" w:color="000000"/>
              <w:right w:val="single" w:sz="4" w:space="0" w:color="auto"/>
            </w:tcBorders>
            <w:shd w:val="clear" w:color="auto" w:fill="auto"/>
            <w:vAlign w:val="center"/>
            <w:hideMark/>
          </w:tcPr>
          <w:p w14:paraId="7DE9B829"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14:paraId="0A4AFB01"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91" w:type="dxa"/>
            <w:vMerge w:val="restart"/>
            <w:tcBorders>
              <w:top w:val="nil"/>
              <w:left w:val="single" w:sz="4" w:space="0" w:color="auto"/>
              <w:bottom w:val="single" w:sz="4" w:space="0" w:color="000000"/>
              <w:right w:val="single" w:sz="4" w:space="0" w:color="auto"/>
            </w:tcBorders>
            <w:shd w:val="clear" w:color="auto" w:fill="auto"/>
            <w:vAlign w:val="center"/>
            <w:hideMark/>
          </w:tcPr>
          <w:p w14:paraId="798BFD72"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32" w:type="dxa"/>
            <w:vMerge w:val="restart"/>
            <w:tcBorders>
              <w:top w:val="nil"/>
              <w:left w:val="single" w:sz="4" w:space="0" w:color="auto"/>
              <w:bottom w:val="single" w:sz="4" w:space="0" w:color="000000"/>
              <w:right w:val="single" w:sz="4" w:space="0" w:color="auto"/>
            </w:tcBorders>
            <w:shd w:val="clear" w:color="auto" w:fill="auto"/>
            <w:vAlign w:val="center"/>
            <w:hideMark/>
          </w:tcPr>
          <w:p w14:paraId="0A870570"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91" w:type="dxa"/>
            <w:vMerge w:val="restart"/>
            <w:tcBorders>
              <w:top w:val="nil"/>
              <w:left w:val="single" w:sz="4" w:space="0" w:color="auto"/>
              <w:bottom w:val="single" w:sz="4" w:space="0" w:color="000000"/>
              <w:right w:val="single" w:sz="4" w:space="0" w:color="auto"/>
            </w:tcBorders>
            <w:shd w:val="clear" w:color="auto" w:fill="auto"/>
            <w:vAlign w:val="center"/>
            <w:hideMark/>
          </w:tcPr>
          <w:p w14:paraId="78E85973"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87" w:type="dxa"/>
            <w:vMerge w:val="restart"/>
            <w:tcBorders>
              <w:top w:val="nil"/>
              <w:left w:val="single" w:sz="4" w:space="0" w:color="auto"/>
              <w:bottom w:val="single" w:sz="4" w:space="0" w:color="000000"/>
              <w:right w:val="single" w:sz="4" w:space="0" w:color="auto"/>
            </w:tcBorders>
            <w:shd w:val="clear" w:color="auto" w:fill="auto"/>
            <w:vAlign w:val="center"/>
            <w:hideMark/>
          </w:tcPr>
          <w:p w14:paraId="04BC80B9"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14:paraId="4EA2FB12"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177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D86AE6A"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771"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2DE0049"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93367F" w:rsidRPr="0093367F" w14:paraId="6BB4D62A" w14:textId="77777777" w:rsidTr="00B334F7">
        <w:trPr>
          <w:trHeight w:val="298"/>
        </w:trPr>
        <w:tc>
          <w:tcPr>
            <w:tcW w:w="882" w:type="dxa"/>
            <w:vMerge/>
            <w:tcBorders>
              <w:top w:val="nil"/>
              <w:left w:val="single" w:sz="4" w:space="0" w:color="auto"/>
              <w:bottom w:val="single" w:sz="4" w:space="0" w:color="000000"/>
              <w:right w:val="single" w:sz="4" w:space="0" w:color="auto"/>
            </w:tcBorders>
            <w:vAlign w:val="center"/>
            <w:hideMark/>
          </w:tcPr>
          <w:p w14:paraId="2E93796B"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2" w:type="dxa"/>
            <w:vMerge/>
            <w:tcBorders>
              <w:top w:val="nil"/>
              <w:left w:val="single" w:sz="4" w:space="0" w:color="auto"/>
              <w:bottom w:val="single" w:sz="4" w:space="0" w:color="000000"/>
              <w:right w:val="single" w:sz="4" w:space="0" w:color="auto"/>
            </w:tcBorders>
            <w:vAlign w:val="center"/>
            <w:hideMark/>
          </w:tcPr>
          <w:p w14:paraId="6AA5C50D"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000000"/>
              <w:right w:val="single" w:sz="4" w:space="0" w:color="auto"/>
            </w:tcBorders>
            <w:vAlign w:val="center"/>
            <w:hideMark/>
          </w:tcPr>
          <w:p w14:paraId="748572FD"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32" w:type="dxa"/>
            <w:vMerge/>
            <w:tcBorders>
              <w:top w:val="nil"/>
              <w:left w:val="single" w:sz="4" w:space="0" w:color="auto"/>
              <w:bottom w:val="single" w:sz="4" w:space="0" w:color="000000"/>
              <w:right w:val="single" w:sz="4" w:space="0" w:color="auto"/>
            </w:tcBorders>
            <w:vAlign w:val="center"/>
            <w:hideMark/>
          </w:tcPr>
          <w:p w14:paraId="3E9949FF"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000000"/>
              <w:right w:val="single" w:sz="4" w:space="0" w:color="auto"/>
            </w:tcBorders>
            <w:vAlign w:val="center"/>
            <w:hideMark/>
          </w:tcPr>
          <w:p w14:paraId="19B89FAB"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7" w:type="dxa"/>
            <w:vMerge/>
            <w:tcBorders>
              <w:top w:val="nil"/>
              <w:left w:val="single" w:sz="4" w:space="0" w:color="auto"/>
              <w:bottom w:val="single" w:sz="4" w:space="0" w:color="000000"/>
              <w:right w:val="single" w:sz="4" w:space="0" w:color="auto"/>
            </w:tcBorders>
            <w:vAlign w:val="center"/>
            <w:hideMark/>
          </w:tcPr>
          <w:p w14:paraId="5AD22967"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2" w:type="dxa"/>
            <w:vMerge/>
            <w:tcBorders>
              <w:top w:val="nil"/>
              <w:left w:val="single" w:sz="4" w:space="0" w:color="auto"/>
              <w:bottom w:val="single" w:sz="4" w:space="0" w:color="000000"/>
              <w:right w:val="single" w:sz="4" w:space="0" w:color="auto"/>
            </w:tcBorders>
            <w:vAlign w:val="center"/>
            <w:hideMark/>
          </w:tcPr>
          <w:p w14:paraId="4B8B3CCB"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70" w:type="dxa"/>
            <w:gridSpan w:val="2"/>
            <w:vMerge/>
            <w:tcBorders>
              <w:top w:val="single" w:sz="4" w:space="0" w:color="auto"/>
              <w:left w:val="single" w:sz="4" w:space="0" w:color="auto"/>
              <w:bottom w:val="single" w:sz="4" w:space="0" w:color="000000"/>
              <w:right w:val="single" w:sz="4" w:space="0" w:color="000000"/>
            </w:tcBorders>
            <w:vAlign w:val="center"/>
            <w:hideMark/>
          </w:tcPr>
          <w:p w14:paraId="37A8128F"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71" w:type="dxa"/>
            <w:gridSpan w:val="2"/>
            <w:vMerge/>
            <w:tcBorders>
              <w:top w:val="single" w:sz="4" w:space="0" w:color="auto"/>
              <w:left w:val="single" w:sz="4" w:space="0" w:color="auto"/>
              <w:bottom w:val="single" w:sz="4" w:space="0" w:color="000000"/>
              <w:right w:val="single" w:sz="4" w:space="0" w:color="000000"/>
            </w:tcBorders>
            <w:vAlign w:val="center"/>
            <w:hideMark/>
          </w:tcPr>
          <w:p w14:paraId="45DCD77C"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E73956" w:rsidRPr="0093367F" w14:paraId="7F6CA5CD" w14:textId="77777777" w:rsidTr="0093367F">
        <w:trPr>
          <w:trHeight w:val="298"/>
        </w:trPr>
        <w:tc>
          <w:tcPr>
            <w:tcW w:w="882" w:type="dxa"/>
            <w:vMerge/>
            <w:tcBorders>
              <w:top w:val="nil"/>
              <w:left w:val="single" w:sz="4" w:space="0" w:color="auto"/>
              <w:bottom w:val="single" w:sz="4" w:space="0" w:color="000000"/>
              <w:right w:val="single" w:sz="4" w:space="0" w:color="auto"/>
            </w:tcBorders>
            <w:vAlign w:val="center"/>
            <w:hideMark/>
          </w:tcPr>
          <w:p w14:paraId="1388F3F5"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2" w:type="dxa"/>
            <w:vMerge/>
            <w:tcBorders>
              <w:top w:val="nil"/>
              <w:left w:val="single" w:sz="4" w:space="0" w:color="auto"/>
              <w:bottom w:val="single" w:sz="4" w:space="0" w:color="000000"/>
              <w:right w:val="single" w:sz="4" w:space="0" w:color="auto"/>
            </w:tcBorders>
            <w:vAlign w:val="center"/>
            <w:hideMark/>
          </w:tcPr>
          <w:p w14:paraId="0803CAA9"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000000"/>
              <w:right w:val="single" w:sz="4" w:space="0" w:color="auto"/>
            </w:tcBorders>
            <w:vAlign w:val="center"/>
            <w:hideMark/>
          </w:tcPr>
          <w:p w14:paraId="148261E8"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32" w:type="dxa"/>
            <w:vMerge/>
            <w:tcBorders>
              <w:top w:val="nil"/>
              <w:left w:val="single" w:sz="4" w:space="0" w:color="auto"/>
              <w:bottom w:val="single" w:sz="4" w:space="0" w:color="000000"/>
              <w:right w:val="single" w:sz="4" w:space="0" w:color="auto"/>
            </w:tcBorders>
            <w:vAlign w:val="center"/>
            <w:hideMark/>
          </w:tcPr>
          <w:p w14:paraId="68F2B0B5"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000000"/>
              <w:right w:val="single" w:sz="4" w:space="0" w:color="auto"/>
            </w:tcBorders>
            <w:vAlign w:val="center"/>
            <w:hideMark/>
          </w:tcPr>
          <w:p w14:paraId="41720F22"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7" w:type="dxa"/>
            <w:vMerge/>
            <w:tcBorders>
              <w:top w:val="nil"/>
              <w:left w:val="single" w:sz="4" w:space="0" w:color="auto"/>
              <w:bottom w:val="single" w:sz="4" w:space="0" w:color="000000"/>
              <w:right w:val="single" w:sz="4" w:space="0" w:color="auto"/>
            </w:tcBorders>
            <w:vAlign w:val="center"/>
            <w:hideMark/>
          </w:tcPr>
          <w:p w14:paraId="4FBB5D19"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2" w:type="dxa"/>
            <w:vMerge/>
            <w:tcBorders>
              <w:top w:val="nil"/>
              <w:left w:val="single" w:sz="4" w:space="0" w:color="auto"/>
              <w:bottom w:val="single" w:sz="4" w:space="0" w:color="000000"/>
              <w:right w:val="single" w:sz="4" w:space="0" w:color="auto"/>
            </w:tcBorders>
            <w:vAlign w:val="center"/>
            <w:hideMark/>
          </w:tcPr>
          <w:p w14:paraId="61EF6870" w14:textId="77777777" w:rsidR="0093367F" w:rsidRPr="00B334F7" w:rsidRDefault="0093367F" w:rsidP="0093367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7" w:type="dxa"/>
            <w:tcBorders>
              <w:top w:val="nil"/>
              <w:left w:val="nil"/>
              <w:bottom w:val="single" w:sz="4" w:space="0" w:color="auto"/>
              <w:right w:val="single" w:sz="4" w:space="0" w:color="auto"/>
            </w:tcBorders>
            <w:shd w:val="clear" w:color="auto" w:fill="auto"/>
            <w:vAlign w:val="center"/>
            <w:hideMark/>
          </w:tcPr>
          <w:p w14:paraId="38868128"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83" w:type="dxa"/>
            <w:tcBorders>
              <w:top w:val="nil"/>
              <w:left w:val="nil"/>
              <w:bottom w:val="single" w:sz="4" w:space="0" w:color="auto"/>
              <w:right w:val="single" w:sz="4" w:space="0" w:color="auto"/>
            </w:tcBorders>
            <w:shd w:val="clear" w:color="auto" w:fill="auto"/>
            <w:vAlign w:val="center"/>
            <w:hideMark/>
          </w:tcPr>
          <w:p w14:paraId="1B15A7A9"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88" w:type="dxa"/>
            <w:tcBorders>
              <w:top w:val="nil"/>
              <w:left w:val="nil"/>
              <w:bottom w:val="single" w:sz="4" w:space="0" w:color="auto"/>
              <w:right w:val="single" w:sz="4" w:space="0" w:color="auto"/>
            </w:tcBorders>
            <w:shd w:val="clear" w:color="auto" w:fill="auto"/>
            <w:vAlign w:val="center"/>
            <w:hideMark/>
          </w:tcPr>
          <w:p w14:paraId="28CDC6DA"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83" w:type="dxa"/>
            <w:tcBorders>
              <w:top w:val="nil"/>
              <w:left w:val="nil"/>
              <w:bottom w:val="single" w:sz="4" w:space="0" w:color="auto"/>
              <w:right w:val="single" w:sz="4" w:space="0" w:color="auto"/>
            </w:tcBorders>
            <w:shd w:val="clear" w:color="auto" w:fill="auto"/>
            <w:vAlign w:val="center"/>
            <w:hideMark/>
          </w:tcPr>
          <w:p w14:paraId="79526578" w14:textId="77777777" w:rsidR="0093367F" w:rsidRPr="00B334F7" w:rsidRDefault="0093367F" w:rsidP="0093367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B65919" w:rsidRPr="0093367F" w14:paraId="71787B46" w14:textId="77777777" w:rsidTr="0093367F">
        <w:trPr>
          <w:trHeight w:val="298"/>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0621ADF3"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100%</w:t>
            </w:r>
          </w:p>
        </w:tc>
        <w:tc>
          <w:tcPr>
            <w:tcW w:w="912" w:type="dxa"/>
            <w:tcBorders>
              <w:top w:val="nil"/>
              <w:left w:val="single" w:sz="4" w:space="0" w:color="auto"/>
              <w:bottom w:val="single" w:sz="4" w:space="0" w:color="000000"/>
              <w:right w:val="single" w:sz="4" w:space="0" w:color="auto"/>
            </w:tcBorders>
            <w:shd w:val="clear" w:color="auto" w:fill="auto"/>
            <w:vAlign w:val="center"/>
            <w:hideMark/>
          </w:tcPr>
          <w:p w14:paraId="551AFC26"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TDD DL</w:t>
            </w:r>
          </w:p>
        </w:tc>
        <w:tc>
          <w:tcPr>
            <w:tcW w:w="891" w:type="dxa"/>
            <w:tcBorders>
              <w:top w:val="nil"/>
              <w:left w:val="single" w:sz="4" w:space="0" w:color="auto"/>
              <w:bottom w:val="single" w:sz="4" w:space="0" w:color="000000"/>
              <w:right w:val="single" w:sz="4" w:space="0" w:color="auto"/>
            </w:tcBorders>
            <w:shd w:val="clear" w:color="auto" w:fill="auto"/>
            <w:vAlign w:val="center"/>
            <w:hideMark/>
          </w:tcPr>
          <w:p w14:paraId="0748127A"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TDD DL</w:t>
            </w:r>
          </w:p>
        </w:tc>
        <w:tc>
          <w:tcPr>
            <w:tcW w:w="1132" w:type="dxa"/>
            <w:tcBorders>
              <w:top w:val="nil"/>
              <w:left w:val="nil"/>
              <w:bottom w:val="single" w:sz="4" w:space="0" w:color="auto"/>
              <w:right w:val="single" w:sz="4" w:space="0" w:color="auto"/>
            </w:tcBorders>
            <w:shd w:val="clear" w:color="auto" w:fill="auto"/>
            <w:vAlign w:val="center"/>
            <w:hideMark/>
          </w:tcPr>
          <w:p w14:paraId="72F98F89"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N/A</w:t>
            </w:r>
          </w:p>
        </w:tc>
        <w:tc>
          <w:tcPr>
            <w:tcW w:w="891" w:type="dxa"/>
            <w:tcBorders>
              <w:top w:val="nil"/>
              <w:left w:val="single" w:sz="4" w:space="0" w:color="auto"/>
              <w:bottom w:val="single" w:sz="4" w:space="0" w:color="000000"/>
              <w:right w:val="single" w:sz="4" w:space="0" w:color="auto"/>
            </w:tcBorders>
            <w:shd w:val="clear" w:color="auto" w:fill="auto"/>
            <w:vAlign w:val="center"/>
            <w:hideMark/>
          </w:tcPr>
          <w:p w14:paraId="6B0463F7"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TDD: 30 dBm</w:t>
            </w:r>
          </w:p>
        </w:tc>
        <w:tc>
          <w:tcPr>
            <w:tcW w:w="887" w:type="dxa"/>
            <w:tcBorders>
              <w:top w:val="nil"/>
              <w:left w:val="single" w:sz="4" w:space="0" w:color="auto"/>
              <w:bottom w:val="single" w:sz="4" w:space="0" w:color="000000"/>
              <w:right w:val="single" w:sz="4" w:space="0" w:color="auto"/>
            </w:tcBorders>
            <w:shd w:val="clear" w:color="auto" w:fill="auto"/>
            <w:vAlign w:val="center"/>
            <w:hideMark/>
          </w:tcPr>
          <w:p w14:paraId="227BFBD6"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N/A</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14:paraId="0978F306"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TDD: 30 dBm</w:t>
            </w:r>
          </w:p>
        </w:tc>
        <w:tc>
          <w:tcPr>
            <w:tcW w:w="887" w:type="dxa"/>
            <w:tcBorders>
              <w:top w:val="nil"/>
              <w:left w:val="nil"/>
              <w:bottom w:val="single" w:sz="4" w:space="0" w:color="auto"/>
              <w:right w:val="single" w:sz="4" w:space="0" w:color="auto"/>
            </w:tcBorders>
            <w:shd w:val="clear" w:color="auto" w:fill="auto"/>
            <w:noWrap/>
            <w:vAlign w:val="center"/>
            <w:hideMark/>
          </w:tcPr>
          <w:p w14:paraId="000FDC17"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0.07</w:t>
            </w:r>
          </w:p>
        </w:tc>
        <w:tc>
          <w:tcPr>
            <w:tcW w:w="883" w:type="dxa"/>
            <w:tcBorders>
              <w:top w:val="nil"/>
              <w:left w:val="nil"/>
              <w:bottom w:val="single" w:sz="4" w:space="0" w:color="auto"/>
              <w:right w:val="single" w:sz="4" w:space="0" w:color="auto"/>
            </w:tcBorders>
            <w:shd w:val="clear" w:color="auto" w:fill="auto"/>
            <w:noWrap/>
            <w:vAlign w:val="center"/>
            <w:hideMark/>
          </w:tcPr>
          <w:p w14:paraId="7B7B0697"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0.11</w:t>
            </w:r>
          </w:p>
        </w:tc>
        <w:tc>
          <w:tcPr>
            <w:tcW w:w="888" w:type="dxa"/>
            <w:tcBorders>
              <w:top w:val="nil"/>
              <w:left w:val="nil"/>
              <w:bottom w:val="single" w:sz="4" w:space="0" w:color="auto"/>
              <w:right w:val="single" w:sz="4" w:space="0" w:color="auto"/>
            </w:tcBorders>
            <w:shd w:val="clear" w:color="auto" w:fill="auto"/>
            <w:noWrap/>
            <w:vAlign w:val="center"/>
            <w:hideMark/>
          </w:tcPr>
          <w:p w14:paraId="39B8BD74"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0.56</w:t>
            </w:r>
          </w:p>
        </w:tc>
        <w:tc>
          <w:tcPr>
            <w:tcW w:w="883" w:type="dxa"/>
            <w:tcBorders>
              <w:top w:val="nil"/>
              <w:left w:val="nil"/>
              <w:bottom w:val="single" w:sz="4" w:space="0" w:color="auto"/>
              <w:right w:val="single" w:sz="4" w:space="0" w:color="auto"/>
            </w:tcBorders>
            <w:shd w:val="clear" w:color="auto" w:fill="auto"/>
            <w:noWrap/>
            <w:vAlign w:val="center"/>
            <w:hideMark/>
          </w:tcPr>
          <w:p w14:paraId="7F48D04C"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0.24</w:t>
            </w:r>
          </w:p>
        </w:tc>
      </w:tr>
      <w:tr w:rsidR="00A94381" w:rsidRPr="0093367F" w14:paraId="2FE66F14" w14:textId="77777777" w:rsidTr="0093367F">
        <w:trPr>
          <w:trHeight w:val="298"/>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361E1448"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10%</w:t>
            </w:r>
          </w:p>
        </w:tc>
        <w:tc>
          <w:tcPr>
            <w:tcW w:w="912" w:type="dxa"/>
            <w:tcBorders>
              <w:top w:val="nil"/>
              <w:left w:val="single" w:sz="4" w:space="0" w:color="auto"/>
              <w:bottom w:val="single" w:sz="4" w:space="0" w:color="000000"/>
              <w:right w:val="single" w:sz="4" w:space="0" w:color="auto"/>
            </w:tcBorders>
            <w:vAlign w:val="center"/>
            <w:hideMark/>
          </w:tcPr>
          <w:p w14:paraId="3AFCDEB4"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tcBorders>
              <w:top w:val="nil"/>
              <w:left w:val="single" w:sz="4" w:space="0" w:color="auto"/>
              <w:bottom w:val="single" w:sz="4" w:space="0" w:color="000000"/>
              <w:right w:val="single" w:sz="4" w:space="0" w:color="auto"/>
            </w:tcBorders>
            <w:vAlign w:val="center"/>
            <w:hideMark/>
          </w:tcPr>
          <w:p w14:paraId="11F88359"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2" w:type="dxa"/>
            <w:tcBorders>
              <w:top w:val="nil"/>
              <w:left w:val="nil"/>
              <w:bottom w:val="single" w:sz="4" w:space="0" w:color="auto"/>
              <w:right w:val="single" w:sz="4" w:space="0" w:color="auto"/>
            </w:tcBorders>
            <w:shd w:val="clear" w:color="auto" w:fill="auto"/>
            <w:vAlign w:val="center"/>
            <w:hideMark/>
          </w:tcPr>
          <w:p w14:paraId="05D3ACA6"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N/A</w:t>
            </w:r>
          </w:p>
        </w:tc>
        <w:tc>
          <w:tcPr>
            <w:tcW w:w="891" w:type="dxa"/>
            <w:tcBorders>
              <w:top w:val="nil"/>
              <w:left w:val="single" w:sz="4" w:space="0" w:color="auto"/>
              <w:bottom w:val="single" w:sz="4" w:space="0" w:color="000000"/>
              <w:right w:val="single" w:sz="4" w:space="0" w:color="auto"/>
            </w:tcBorders>
            <w:vAlign w:val="center"/>
            <w:hideMark/>
          </w:tcPr>
          <w:p w14:paraId="24932271"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single" w:sz="4" w:space="0" w:color="auto"/>
              <w:bottom w:val="single" w:sz="4" w:space="0" w:color="000000"/>
              <w:right w:val="single" w:sz="4" w:space="0" w:color="auto"/>
            </w:tcBorders>
            <w:vAlign w:val="center"/>
            <w:hideMark/>
          </w:tcPr>
          <w:p w14:paraId="3B9CFD20"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2" w:type="dxa"/>
            <w:vMerge/>
            <w:tcBorders>
              <w:top w:val="nil"/>
              <w:left w:val="single" w:sz="4" w:space="0" w:color="auto"/>
              <w:bottom w:val="single" w:sz="4" w:space="0" w:color="000000"/>
              <w:right w:val="single" w:sz="4" w:space="0" w:color="auto"/>
            </w:tcBorders>
            <w:vAlign w:val="center"/>
            <w:hideMark/>
          </w:tcPr>
          <w:p w14:paraId="10A797AF"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nil"/>
              <w:bottom w:val="single" w:sz="4" w:space="0" w:color="auto"/>
              <w:right w:val="single" w:sz="4" w:space="0" w:color="auto"/>
            </w:tcBorders>
            <w:shd w:val="clear" w:color="auto" w:fill="auto"/>
            <w:noWrap/>
            <w:vAlign w:val="center"/>
            <w:hideMark/>
          </w:tcPr>
          <w:p w14:paraId="0872CD00"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0.92</w:t>
            </w:r>
          </w:p>
        </w:tc>
        <w:tc>
          <w:tcPr>
            <w:tcW w:w="883" w:type="dxa"/>
            <w:tcBorders>
              <w:top w:val="nil"/>
              <w:left w:val="nil"/>
              <w:bottom w:val="single" w:sz="4" w:space="0" w:color="auto"/>
              <w:right w:val="single" w:sz="4" w:space="0" w:color="auto"/>
            </w:tcBorders>
            <w:shd w:val="clear" w:color="auto" w:fill="auto"/>
            <w:noWrap/>
            <w:vAlign w:val="center"/>
            <w:hideMark/>
          </w:tcPr>
          <w:p w14:paraId="372F23DC"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0.17</w:t>
            </w:r>
          </w:p>
        </w:tc>
        <w:tc>
          <w:tcPr>
            <w:tcW w:w="88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67F84DE"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6.78</w:t>
            </w:r>
          </w:p>
        </w:tc>
        <w:tc>
          <w:tcPr>
            <w:tcW w:w="883" w:type="dxa"/>
            <w:tcBorders>
              <w:top w:val="nil"/>
              <w:left w:val="nil"/>
              <w:bottom w:val="single" w:sz="4" w:space="0" w:color="auto"/>
              <w:right w:val="single" w:sz="4" w:space="0" w:color="auto"/>
            </w:tcBorders>
            <w:shd w:val="clear" w:color="auto" w:fill="auto"/>
            <w:noWrap/>
            <w:vAlign w:val="center"/>
            <w:hideMark/>
          </w:tcPr>
          <w:p w14:paraId="0518F93E"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1.01</w:t>
            </w:r>
          </w:p>
        </w:tc>
      </w:tr>
      <w:tr w:rsidR="00B65919" w:rsidRPr="0093367F" w14:paraId="0BD20AEC" w14:textId="77777777" w:rsidTr="0093367F">
        <w:trPr>
          <w:trHeight w:val="448"/>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47ADABB6"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lastRenderedPageBreak/>
              <w:t>100%</w:t>
            </w:r>
          </w:p>
        </w:tc>
        <w:tc>
          <w:tcPr>
            <w:tcW w:w="912" w:type="dxa"/>
            <w:tcBorders>
              <w:top w:val="nil"/>
              <w:left w:val="single" w:sz="4" w:space="0" w:color="auto"/>
              <w:bottom w:val="single" w:sz="4" w:space="0" w:color="000000"/>
              <w:right w:val="single" w:sz="4" w:space="0" w:color="auto"/>
            </w:tcBorders>
            <w:shd w:val="clear" w:color="auto" w:fill="auto"/>
            <w:vAlign w:val="center"/>
            <w:hideMark/>
          </w:tcPr>
          <w:p w14:paraId="6CA12E65"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SBFD</w:t>
            </w:r>
          </w:p>
        </w:tc>
        <w:tc>
          <w:tcPr>
            <w:tcW w:w="891" w:type="dxa"/>
            <w:tcBorders>
              <w:top w:val="nil"/>
              <w:left w:val="single" w:sz="4" w:space="0" w:color="auto"/>
              <w:bottom w:val="single" w:sz="4" w:space="0" w:color="000000"/>
              <w:right w:val="single" w:sz="4" w:space="0" w:color="auto"/>
            </w:tcBorders>
            <w:vAlign w:val="center"/>
            <w:hideMark/>
          </w:tcPr>
          <w:p w14:paraId="7E7DCB41"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2" w:type="dxa"/>
            <w:tcBorders>
              <w:top w:val="nil"/>
              <w:left w:val="nil"/>
              <w:bottom w:val="single" w:sz="4" w:space="0" w:color="auto"/>
              <w:right w:val="single" w:sz="4" w:space="0" w:color="auto"/>
            </w:tcBorders>
            <w:shd w:val="clear" w:color="auto" w:fill="auto"/>
            <w:vAlign w:val="center"/>
            <w:hideMark/>
          </w:tcPr>
          <w:p w14:paraId="3AEB727A"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Option 1 (same size)</w:t>
            </w:r>
          </w:p>
        </w:tc>
        <w:tc>
          <w:tcPr>
            <w:tcW w:w="891" w:type="dxa"/>
            <w:tcBorders>
              <w:top w:val="nil"/>
              <w:left w:val="single" w:sz="4" w:space="0" w:color="auto"/>
              <w:bottom w:val="single" w:sz="4" w:space="0" w:color="000000"/>
              <w:right w:val="single" w:sz="4" w:space="0" w:color="auto"/>
            </w:tcBorders>
            <w:vAlign w:val="center"/>
            <w:hideMark/>
          </w:tcPr>
          <w:p w14:paraId="75938184"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single" w:sz="4" w:space="0" w:color="auto"/>
              <w:bottom w:val="single" w:sz="4" w:space="0" w:color="000000"/>
              <w:right w:val="single" w:sz="4" w:space="0" w:color="auto"/>
            </w:tcBorders>
            <w:vAlign w:val="center"/>
            <w:hideMark/>
          </w:tcPr>
          <w:p w14:paraId="36DCA4EE"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14:paraId="49B02197"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Option 1:</w:t>
            </w:r>
            <w:r w:rsidRPr="0093367F">
              <w:rPr>
                <w:rFonts w:ascii="Times New Roman" w:eastAsia="Times New Roman" w:hAnsi="Times New Roman" w:cs="Times New Roman"/>
                <w:sz w:val="16"/>
                <w:szCs w:val="16"/>
                <w:lang w:val="en-US"/>
              </w:rPr>
              <w:br/>
              <w:t>SBFD: 27 dBm</w:t>
            </w:r>
          </w:p>
        </w:tc>
        <w:tc>
          <w:tcPr>
            <w:tcW w:w="887" w:type="dxa"/>
            <w:tcBorders>
              <w:top w:val="nil"/>
              <w:left w:val="nil"/>
              <w:bottom w:val="single" w:sz="4" w:space="0" w:color="auto"/>
              <w:right w:val="single" w:sz="4" w:space="0" w:color="auto"/>
            </w:tcBorders>
            <w:shd w:val="clear" w:color="auto" w:fill="auto"/>
            <w:noWrap/>
            <w:vAlign w:val="center"/>
            <w:hideMark/>
          </w:tcPr>
          <w:p w14:paraId="0505839D"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0.08</w:t>
            </w:r>
          </w:p>
        </w:tc>
        <w:tc>
          <w:tcPr>
            <w:tcW w:w="883" w:type="dxa"/>
            <w:tcBorders>
              <w:top w:val="nil"/>
              <w:left w:val="nil"/>
              <w:bottom w:val="single" w:sz="4" w:space="0" w:color="auto"/>
              <w:right w:val="single" w:sz="4" w:space="0" w:color="auto"/>
            </w:tcBorders>
            <w:shd w:val="clear" w:color="auto" w:fill="auto"/>
            <w:noWrap/>
            <w:vAlign w:val="center"/>
            <w:hideMark/>
          </w:tcPr>
          <w:p w14:paraId="3F96C4C6"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0.08</w:t>
            </w:r>
          </w:p>
        </w:tc>
        <w:tc>
          <w:tcPr>
            <w:tcW w:w="888" w:type="dxa"/>
            <w:tcBorders>
              <w:top w:val="nil"/>
              <w:left w:val="nil"/>
              <w:bottom w:val="single" w:sz="4" w:space="0" w:color="auto"/>
              <w:right w:val="single" w:sz="4" w:space="0" w:color="auto"/>
            </w:tcBorders>
            <w:shd w:val="clear" w:color="auto" w:fill="auto"/>
            <w:noWrap/>
            <w:vAlign w:val="center"/>
            <w:hideMark/>
          </w:tcPr>
          <w:p w14:paraId="1607B640"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0.57</w:t>
            </w:r>
          </w:p>
        </w:tc>
        <w:tc>
          <w:tcPr>
            <w:tcW w:w="883" w:type="dxa"/>
            <w:tcBorders>
              <w:top w:val="nil"/>
              <w:left w:val="nil"/>
              <w:bottom w:val="single" w:sz="4" w:space="0" w:color="auto"/>
              <w:right w:val="single" w:sz="4" w:space="0" w:color="auto"/>
            </w:tcBorders>
            <w:shd w:val="clear" w:color="auto" w:fill="auto"/>
            <w:noWrap/>
            <w:vAlign w:val="center"/>
            <w:hideMark/>
          </w:tcPr>
          <w:p w14:paraId="40E77251"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0.18</w:t>
            </w:r>
          </w:p>
        </w:tc>
      </w:tr>
      <w:tr w:rsidR="00A94381" w:rsidRPr="0093367F" w14:paraId="5A86D4CC" w14:textId="77777777" w:rsidTr="0093367F">
        <w:trPr>
          <w:trHeight w:val="448"/>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13F9B131"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10%</w:t>
            </w:r>
          </w:p>
        </w:tc>
        <w:tc>
          <w:tcPr>
            <w:tcW w:w="912" w:type="dxa"/>
            <w:tcBorders>
              <w:top w:val="nil"/>
              <w:left w:val="single" w:sz="4" w:space="0" w:color="auto"/>
              <w:bottom w:val="single" w:sz="4" w:space="0" w:color="000000"/>
              <w:right w:val="single" w:sz="4" w:space="0" w:color="auto"/>
            </w:tcBorders>
            <w:vAlign w:val="center"/>
            <w:hideMark/>
          </w:tcPr>
          <w:p w14:paraId="6D0F53C7"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tcBorders>
              <w:top w:val="nil"/>
              <w:left w:val="single" w:sz="4" w:space="0" w:color="auto"/>
              <w:bottom w:val="single" w:sz="4" w:space="0" w:color="000000"/>
              <w:right w:val="single" w:sz="4" w:space="0" w:color="auto"/>
            </w:tcBorders>
            <w:vAlign w:val="center"/>
            <w:hideMark/>
          </w:tcPr>
          <w:p w14:paraId="000DF53B"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2" w:type="dxa"/>
            <w:tcBorders>
              <w:top w:val="nil"/>
              <w:left w:val="nil"/>
              <w:bottom w:val="single" w:sz="4" w:space="0" w:color="auto"/>
              <w:right w:val="single" w:sz="4" w:space="0" w:color="auto"/>
            </w:tcBorders>
            <w:shd w:val="clear" w:color="auto" w:fill="auto"/>
            <w:vAlign w:val="center"/>
            <w:hideMark/>
          </w:tcPr>
          <w:p w14:paraId="32857655"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Option 1 (same size)</w:t>
            </w:r>
          </w:p>
        </w:tc>
        <w:tc>
          <w:tcPr>
            <w:tcW w:w="891" w:type="dxa"/>
            <w:tcBorders>
              <w:top w:val="nil"/>
              <w:left w:val="single" w:sz="4" w:space="0" w:color="auto"/>
              <w:bottom w:val="single" w:sz="4" w:space="0" w:color="000000"/>
              <w:right w:val="single" w:sz="4" w:space="0" w:color="auto"/>
            </w:tcBorders>
            <w:vAlign w:val="center"/>
            <w:hideMark/>
          </w:tcPr>
          <w:p w14:paraId="45196090"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single" w:sz="4" w:space="0" w:color="auto"/>
              <w:bottom w:val="single" w:sz="4" w:space="0" w:color="000000"/>
              <w:right w:val="single" w:sz="4" w:space="0" w:color="auto"/>
            </w:tcBorders>
            <w:vAlign w:val="center"/>
            <w:hideMark/>
          </w:tcPr>
          <w:p w14:paraId="799A58F0"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2" w:type="dxa"/>
            <w:vMerge/>
            <w:tcBorders>
              <w:top w:val="nil"/>
              <w:left w:val="single" w:sz="4" w:space="0" w:color="auto"/>
              <w:bottom w:val="single" w:sz="4" w:space="0" w:color="000000"/>
              <w:right w:val="single" w:sz="4" w:space="0" w:color="auto"/>
            </w:tcBorders>
            <w:vAlign w:val="center"/>
            <w:hideMark/>
          </w:tcPr>
          <w:p w14:paraId="3152ED38"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nil"/>
              <w:bottom w:val="single" w:sz="4" w:space="0" w:color="auto"/>
              <w:right w:val="single" w:sz="4" w:space="0" w:color="auto"/>
            </w:tcBorders>
            <w:shd w:val="clear" w:color="auto" w:fill="auto"/>
            <w:noWrap/>
            <w:vAlign w:val="center"/>
            <w:hideMark/>
          </w:tcPr>
          <w:p w14:paraId="556344E6"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0.9</w:t>
            </w:r>
          </w:p>
        </w:tc>
        <w:tc>
          <w:tcPr>
            <w:tcW w:w="883" w:type="dxa"/>
            <w:tcBorders>
              <w:top w:val="nil"/>
              <w:left w:val="nil"/>
              <w:bottom w:val="single" w:sz="4" w:space="0" w:color="auto"/>
              <w:right w:val="single" w:sz="4" w:space="0" w:color="auto"/>
            </w:tcBorders>
            <w:shd w:val="clear" w:color="auto" w:fill="auto"/>
            <w:noWrap/>
            <w:vAlign w:val="center"/>
            <w:hideMark/>
          </w:tcPr>
          <w:p w14:paraId="5C57174D"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0.15</w:t>
            </w:r>
          </w:p>
        </w:tc>
        <w:tc>
          <w:tcPr>
            <w:tcW w:w="88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425C675"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6.61</w:t>
            </w:r>
          </w:p>
        </w:tc>
        <w:tc>
          <w:tcPr>
            <w:tcW w:w="883" w:type="dxa"/>
            <w:tcBorders>
              <w:top w:val="nil"/>
              <w:left w:val="nil"/>
              <w:bottom w:val="single" w:sz="4" w:space="0" w:color="auto"/>
              <w:right w:val="single" w:sz="4" w:space="0" w:color="auto"/>
            </w:tcBorders>
            <w:shd w:val="clear" w:color="auto" w:fill="auto"/>
            <w:noWrap/>
            <w:vAlign w:val="center"/>
            <w:hideMark/>
          </w:tcPr>
          <w:p w14:paraId="083B360C"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0.95</w:t>
            </w:r>
          </w:p>
        </w:tc>
      </w:tr>
      <w:tr w:rsidR="00B65919" w:rsidRPr="0093367F" w14:paraId="26CA9468" w14:textId="77777777" w:rsidTr="0093367F">
        <w:trPr>
          <w:trHeight w:val="448"/>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29009626"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100%</w:t>
            </w:r>
          </w:p>
        </w:tc>
        <w:tc>
          <w:tcPr>
            <w:tcW w:w="912" w:type="dxa"/>
            <w:tcBorders>
              <w:top w:val="nil"/>
              <w:left w:val="single" w:sz="4" w:space="0" w:color="auto"/>
              <w:bottom w:val="single" w:sz="4" w:space="0" w:color="000000"/>
              <w:right w:val="single" w:sz="4" w:space="0" w:color="auto"/>
            </w:tcBorders>
            <w:shd w:val="clear" w:color="auto" w:fill="auto"/>
            <w:vAlign w:val="center"/>
            <w:hideMark/>
          </w:tcPr>
          <w:p w14:paraId="168D0407"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SBFD</w:t>
            </w:r>
          </w:p>
        </w:tc>
        <w:tc>
          <w:tcPr>
            <w:tcW w:w="891" w:type="dxa"/>
            <w:tcBorders>
              <w:top w:val="nil"/>
              <w:left w:val="single" w:sz="4" w:space="0" w:color="auto"/>
              <w:bottom w:val="single" w:sz="4" w:space="0" w:color="000000"/>
              <w:right w:val="single" w:sz="4" w:space="0" w:color="auto"/>
            </w:tcBorders>
            <w:vAlign w:val="center"/>
            <w:hideMark/>
          </w:tcPr>
          <w:p w14:paraId="3AE03A50"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2" w:type="dxa"/>
            <w:tcBorders>
              <w:top w:val="nil"/>
              <w:left w:val="nil"/>
              <w:bottom w:val="single" w:sz="4" w:space="0" w:color="auto"/>
              <w:right w:val="single" w:sz="4" w:space="0" w:color="auto"/>
            </w:tcBorders>
            <w:shd w:val="clear" w:color="auto" w:fill="auto"/>
            <w:vAlign w:val="center"/>
            <w:hideMark/>
          </w:tcPr>
          <w:p w14:paraId="4729EAA0"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Option 2 (same gain)</w:t>
            </w:r>
          </w:p>
        </w:tc>
        <w:tc>
          <w:tcPr>
            <w:tcW w:w="891" w:type="dxa"/>
            <w:tcBorders>
              <w:top w:val="nil"/>
              <w:left w:val="single" w:sz="4" w:space="0" w:color="auto"/>
              <w:bottom w:val="single" w:sz="4" w:space="0" w:color="000000"/>
              <w:right w:val="single" w:sz="4" w:space="0" w:color="auto"/>
            </w:tcBorders>
            <w:vAlign w:val="center"/>
            <w:hideMark/>
          </w:tcPr>
          <w:p w14:paraId="2E1AD49E"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single" w:sz="4" w:space="0" w:color="auto"/>
              <w:bottom w:val="single" w:sz="4" w:space="0" w:color="000000"/>
              <w:right w:val="single" w:sz="4" w:space="0" w:color="auto"/>
            </w:tcBorders>
            <w:vAlign w:val="center"/>
            <w:hideMark/>
          </w:tcPr>
          <w:p w14:paraId="565B78BB"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14:paraId="0E3374C7"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Option 2:</w:t>
            </w:r>
            <w:r w:rsidRPr="0093367F">
              <w:rPr>
                <w:rFonts w:ascii="Times New Roman" w:eastAsia="Times New Roman" w:hAnsi="Times New Roman" w:cs="Times New Roman"/>
                <w:sz w:val="16"/>
                <w:szCs w:val="16"/>
                <w:lang w:val="en-US"/>
              </w:rPr>
              <w:br/>
              <w:t>SBFD: 30 dBm</w:t>
            </w:r>
          </w:p>
        </w:tc>
        <w:tc>
          <w:tcPr>
            <w:tcW w:w="887" w:type="dxa"/>
            <w:tcBorders>
              <w:top w:val="nil"/>
              <w:left w:val="nil"/>
              <w:bottom w:val="single" w:sz="4" w:space="0" w:color="auto"/>
              <w:right w:val="single" w:sz="4" w:space="0" w:color="auto"/>
            </w:tcBorders>
            <w:shd w:val="clear" w:color="auto" w:fill="auto"/>
            <w:noWrap/>
            <w:vAlign w:val="center"/>
            <w:hideMark/>
          </w:tcPr>
          <w:p w14:paraId="6713BDC6"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0.08</w:t>
            </w:r>
          </w:p>
        </w:tc>
        <w:tc>
          <w:tcPr>
            <w:tcW w:w="883" w:type="dxa"/>
            <w:tcBorders>
              <w:top w:val="nil"/>
              <w:left w:val="nil"/>
              <w:bottom w:val="single" w:sz="4" w:space="0" w:color="auto"/>
              <w:right w:val="single" w:sz="4" w:space="0" w:color="auto"/>
            </w:tcBorders>
            <w:shd w:val="clear" w:color="auto" w:fill="auto"/>
            <w:noWrap/>
            <w:vAlign w:val="center"/>
            <w:hideMark/>
          </w:tcPr>
          <w:p w14:paraId="7B6439B4"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0.08</w:t>
            </w:r>
          </w:p>
        </w:tc>
        <w:tc>
          <w:tcPr>
            <w:tcW w:w="888" w:type="dxa"/>
            <w:tcBorders>
              <w:top w:val="nil"/>
              <w:left w:val="nil"/>
              <w:bottom w:val="single" w:sz="4" w:space="0" w:color="auto"/>
              <w:right w:val="single" w:sz="4" w:space="0" w:color="auto"/>
            </w:tcBorders>
            <w:shd w:val="clear" w:color="auto" w:fill="auto"/>
            <w:noWrap/>
            <w:vAlign w:val="center"/>
            <w:hideMark/>
          </w:tcPr>
          <w:p w14:paraId="4F06BA5B"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0.62</w:t>
            </w:r>
          </w:p>
        </w:tc>
        <w:tc>
          <w:tcPr>
            <w:tcW w:w="883" w:type="dxa"/>
            <w:tcBorders>
              <w:top w:val="nil"/>
              <w:left w:val="nil"/>
              <w:bottom w:val="single" w:sz="4" w:space="0" w:color="auto"/>
              <w:right w:val="single" w:sz="4" w:space="0" w:color="auto"/>
            </w:tcBorders>
            <w:shd w:val="clear" w:color="auto" w:fill="auto"/>
            <w:noWrap/>
            <w:vAlign w:val="center"/>
            <w:hideMark/>
          </w:tcPr>
          <w:p w14:paraId="50281A96"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0.22</w:t>
            </w:r>
          </w:p>
        </w:tc>
      </w:tr>
      <w:tr w:rsidR="00A94381" w:rsidRPr="0093367F" w14:paraId="444F2B16" w14:textId="77777777" w:rsidTr="0093367F">
        <w:trPr>
          <w:trHeight w:val="448"/>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44AC15B9"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10%</w:t>
            </w:r>
          </w:p>
        </w:tc>
        <w:tc>
          <w:tcPr>
            <w:tcW w:w="912" w:type="dxa"/>
            <w:tcBorders>
              <w:top w:val="nil"/>
              <w:left w:val="single" w:sz="4" w:space="0" w:color="auto"/>
              <w:bottom w:val="single" w:sz="4" w:space="0" w:color="000000"/>
              <w:right w:val="single" w:sz="4" w:space="0" w:color="auto"/>
            </w:tcBorders>
            <w:vAlign w:val="center"/>
            <w:hideMark/>
          </w:tcPr>
          <w:p w14:paraId="18CA400A"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tcBorders>
              <w:top w:val="nil"/>
              <w:left w:val="single" w:sz="4" w:space="0" w:color="auto"/>
              <w:bottom w:val="single" w:sz="4" w:space="0" w:color="000000"/>
              <w:right w:val="single" w:sz="4" w:space="0" w:color="auto"/>
            </w:tcBorders>
            <w:vAlign w:val="center"/>
            <w:hideMark/>
          </w:tcPr>
          <w:p w14:paraId="22076D57"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2" w:type="dxa"/>
            <w:tcBorders>
              <w:top w:val="nil"/>
              <w:left w:val="nil"/>
              <w:bottom w:val="single" w:sz="4" w:space="0" w:color="auto"/>
              <w:right w:val="single" w:sz="4" w:space="0" w:color="auto"/>
            </w:tcBorders>
            <w:shd w:val="clear" w:color="auto" w:fill="auto"/>
            <w:vAlign w:val="center"/>
            <w:hideMark/>
          </w:tcPr>
          <w:p w14:paraId="11FA74CE" w14:textId="77777777" w:rsidR="0093367F" w:rsidRPr="0093367F" w:rsidRDefault="0093367F" w:rsidP="0093367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93367F">
              <w:rPr>
                <w:rFonts w:ascii="Times New Roman" w:eastAsia="Times New Roman" w:hAnsi="Times New Roman" w:cs="Times New Roman"/>
                <w:sz w:val="16"/>
                <w:szCs w:val="16"/>
                <w:lang w:val="en-US"/>
              </w:rPr>
              <w:t>Option 2 (same gain)</w:t>
            </w:r>
          </w:p>
        </w:tc>
        <w:tc>
          <w:tcPr>
            <w:tcW w:w="891" w:type="dxa"/>
            <w:tcBorders>
              <w:top w:val="nil"/>
              <w:left w:val="single" w:sz="4" w:space="0" w:color="auto"/>
              <w:bottom w:val="single" w:sz="4" w:space="0" w:color="000000"/>
              <w:right w:val="single" w:sz="4" w:space="0" w:color="auto"/>
            </w:tcBorders>
            <w:vAlign w:val="center"/>
            <w:hideMark/>
          </w:tcPr>
          <w:p w14:paraId="505FC047"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single" w:sz="4" w:space="0" w:color="auto"/>
              <w:bottom w:val="single" w:sz="4" w:space="0" w:color="000000"/>
              <w:right w:val="single" w:sz="4" w:space="0" w:color="auto"/>
            </w:tcBorders>
            <w:vAlign w:val="center"/>
            <w:hideMark/>
          </w:tcPr>
          <w:p w14:paraId="04603B8A"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2" w:type="dxa"/>
            <w:vMerge/>
            <w:tcBorders>
              <w:top w:val="nil"/>
              <w:left w:val="single" w:sz="4" w:space="0" w:color="auto"/>
              <w:bottom w:val="single" w:sz="4" w:space="0" w:color="000000"/>
              <w:right w:val="single" w:sz="4" w:space="0" w:color="auto"/>
            </w:tcBorders>
            <w:vAlign w:val="center"/>
            <w:hideMark/>
          </w:tcPr>
          <w:p w14:paraId="7AD8C524" w14:textId="77777777" w:rsidR="0093367F" w:rsidRPr="0093367F" w:rsidRDefault="0093367F" w:rsidP="0093367F">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nil"/>
              <w:bottom w:val="single" w:sz="4" w:space="0" w:color="auto"/>
              <w:right w:val="single" w:sz="4" w:space="0" w:color="auto"/>
            </w:tcBorders>
            <w:shd w:val="clear" w:color="auto" w:fill="auto"/>
            <w:noWrap/>
            <w:vAlign w:val="center"/>
            <w:hideMark/>
          </w:tcPr>
          <w:p w14:paraId="690FF621"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0.9</w:t>
            </w:r>
          </w:p>
        </w:tc>
        <w:tc>
          <w:tcPr>
            <w:tcW w:w="883" w:type="dxa"/>
            <w:tcBorders>
              <w:top w:val="nil"/>
              <w:left w:val="nil"/>
              <w:bottom w:val="single" w:sz="4" w:space="0" w:color="auto"/>
              <w:right w:val="single" w:sz="4" w:space="0" w:color="auto"/>
            </w:tcBorders>
            <w:shd w:val="clear" w:color="auto" w:fill="auto"/>
            <w:noWrap/>
            <w:vAlign w:val="center"/>
            <w:hideMark/>
          </w:tcPr>
          <w:p w14:paraId="24623A2A"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0.19</w:t>
            </w:r>
          </w:p>
        </w:tc>
        <w:tc>
          <w:tcPr>
            <w:tcW w:w="88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75E1F7E"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6.64</w:t>
            </w:r>
          </w:p>
        </w:tc>
        <w:tc>
          <w:tcPr>
            <w:tcW w:w="883" w:type="dxa"/>
            <w:tcBorders>
              <w:top w:val="nil"/>
              <w:left w:val="nil"/>
              <w:bottom w:val="single" w:sz="4" w:space="0" w:color="auto"/>
              <w:right w:val="single" w:sz="4" w:space="0" w:color="auto"/>
            </w:tcBorders>
            <w:shd w:val="clear" w:color="auto" w:fill="auto"/>
            <w:noWrap/>
            <w:vAlign w:val="center"/>
            <w:hideMark/>
          </w:tcPr>
          <w:p w14:paraId="20EB147E" w14:textId="77777777" w:rsidR="0093367F" w:rsidRPr="00B334F7" w:rsidRDefault="0093367F" w:rsidP="0093367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1.05</w:t>
            </w:r>
          </w:p>
        </w:tc>
      </w:tr>
    </w:tbl>
    <w:p w14:paraId="6E2A696B" w14:textId="77777777" w:rsidR="00EF5501" w:rsidRDefault="00EF5501" w:rsidP="00B82978">
      <w:pPr>
        <w:rPr>
          <w:lang w:val="en-US"/>
        </w:rPr>
      </w:pPr>
    </w:p>
    <w:p w14:paraId="5EFD6F83" w14:textId="77777777" w:rsidR="00621F8F" w:rsidRDefault="00621F8F" w:rsidP="00621F8F">
      <w:r>
        <w:t>Based on the results presented, we conclude the following on the overall coexistence for this scenario and case:</w:t>
      </w:r>
    </w:p>
    <w:p w14:paraId="54190711" w14:textId="5408F101" w:rsidR="00621F8F" w:rsidRPr="00B82978" w:rsidRDefault="00621F8F" w:rsidP="00B334F7">
      <w:pPr>
        <w:rPr>
          <w:lang w:val="en-US"/>
        </w:rPr>
      </w:pPr>
      <w:r w:rsidRPr="00B10AC6">
        <w:rPr>
          <w:b/>
          <w:bCs/>
        </w:rPr>
        <w:t xml:space="preserve">Proposal </w:t>
      </w:r>
      <w:r w:rsidR="0075382C">
        <w:rPr>
          <w:b/>
          <w:bCs/>
        </w:rPr>
        <w:t>6</w:t>
      </w:r>
      <w:r w:rsidRPr="00B10AC6">
        <w:rPr>
          <w:b/>
          <w:bCs/>
        </w:rPr>
        <w:t xml:space="preserve">: The performance degradation for </w:t>
      </w:r>
      <w:r w:rsidR="009115AE">
        <w:rPr>
          <w:b/>
          <w:bCs/>
        </w:rPr>
        <w:t xml:space="preserve">Urban Macro FR2-1 </w:t>
      </w:r>
      <w:r>
        <w:rPr>
          <w:b/>
          <w:bCs/>
        </w:rPr>
        <w:t>Ca</w:t>
      </w:r>
      <w:r w:rsidRPr="00B10AC6">
        <w:rPr>
          <w:b/>
          <w:bCs/>
        </w:rPr>
        <w:t>se 1 is acceptable for both TDD DL and SBFD</w:t>
      </w:r>
      <w:r w:rsidR="001C7E81">
        <w:rPr>
          <w:b/>
          <w:bCs/>
        </w:rPr>
        <w:t xml:space="preserve"> </w:t>
      </w:r>
      <w:r w:rsidR="001C7E81" w:rsidRPr="00B10AC6">
        <w:rPr>
          <w:b/>
          <w:bCs/>
        </w:rPr>
        <w:t>aggressor technologies.</w:t>
      </w:r>
    </w:p>
    <w:p w14:paraId="703FD97B" w14:textId="11BA59B3" w:rsidR="00CE7591" w:rsidRDefault="00CE7591">
      <w:pPr>
        <w:pStyle w:val="Heading2"/>
        <w:rPr>
          <w:lang w:val="en-US"/>
        </w:rPr>
      </w:pPr>
      <w:r>
        <w:rPr>
          <w:lang w:val="en-US"/>
        </w:rPr>
        <w:t>3.2 Case 2</w:t>
      </w:r>
      <w:r w:rsidR="00AD4691">
        <w:rPr>
          <w:lang w:val="en-US"/>
        </w:rPr>
        <w:t xml:space="preserve"> – TDD UL as victim</w:t>
      </w:r>
    </w:p>
    <w:p w14:paraId="28E00BDF" w14:textId="1E2E50C9" w:rsidR="00045C44" w:rsidRPr="001978A1" w:rsidRDefault="00045C44" w:rsidP="00045C44">
      <w:pPr>
        <w:rPr>
          <w:lang w:val="en-US"/>
        </w:rPr>
      </w:pPr>
      <w:r>
        <w:rPr>
          <w:lang w:val="en-US"/>
        </w:rPr>
        <w:t xml:space="preserve">This set of results analyze the coexistence for the Case 2. We evaluate here the performance degradation of a network using TDD </w:t>
      </w:r>
      <w:r w:rsidR="00395D85">
        <w:rPr>
          <w:lang w:val="en-US"/>
        </w:rPr>
        <w:t>U</w:t>
      </w:r>
      <w:r>
        <w:rPr>
          <w:lang w:val="en-US"/>
        </w:rPr>
        <w:t xml:space="preserve">L while the aggressor network uses either TDD </w:t>
      </w:r>
      <w:r w:rsidR="00395D85">
        <w:rPr>
          <w:lang w:val="en-US"/>
        </w:rPr>
        <w:t>U</w:t>
      </w:r>
      <w:r>
        <w:rPr>
          <w:lang w:val="en-US"/>
        </w:rPr>
        <w:t>L or SBFD.</w:t>
      </w:r>
    </w:p>
    <w:p w14:paraId="05492932" w14:textId="2D55FBDC" w:rsidR="00CE7591" w:rsidRDefault="00CE7591">
      <w:pPr>
        <w:pStyle w:val="Heading4"/>
        <w:ind w:left="0" w:firstLine="0"/>
        <w:rPr>
          <w:lang w:val="en-US"/>
        </w:rPr>
      </w:pPr>
      <w:r w:rsidRPr="00FC6DDC">
        <w:rPr>
          <w:lang w:val="en-US"/>
        </w:rPr>
        <w:t>3.</w:t>
      </w:r>
      <w:r w:rsidR="007A4373" w:rsidRPr="00FC6DDC">
        <w:rPr>
          <w:lang w:val="en-US"/>
        </w:rPr>
        <w:t>2.</w:t>
      </w:r>
      <w:r w:rsidRPr="00FC6DDC">
        <w:rPr>
          <w:lang w:val="en-US"/>
        </w:rPr>
        <w:t xml:space="preserve">1 </w:t>
      </w:r>
      <w:r w:rsidR="005C7076" w:rsidRPr="00FC6DDC">
        <w:rPr>
          <w:lang w:val="en-US"/>
        </w:rPr>
        <w:t xml:space="preserve">Scenario 1: </w:t>
      </w:r>
      <w:r w:rsidR="009E2979" w:rsidRPr="00FC6DDC">
        <w:rPr>
          <w:lang w:val="en-US"/>
        </w:rPr>
        <w:t xml:space="preserve">FR1 </w:t>
      </w:r>
      <w:r w:rsidRPr="00FC6DDC">
        <w:rPr>
          <w:lang w:val="en-US"/>
        </w:rPr>
        <w:t xml:space="preserve">Urban </w:t>
      </w:r>
      <w:r w:rsidR="005C7076" w:rsidRPr="00FC6DDC">
        <w:rPr>
          <w:lang w:val="en-US"/>
        </w:rPr>
        <w:t>M</w:t>
      </w:r>
      <w:r w:rsidRPr="00FC6DDC">
        <w:rPr>
          <w:lang w:val="en-US"/>
        </w:rPr>
        <w:t>acro</w:t>
      </w:r>
    </w:p>
    <w:p w14:paraId="63CA278A" w14:textId="27101B37" w:rsidR="00507FD5" w:rsidRDefault="0031290F" w:rsidP="00045C44">
      <w:pPr>
        <w:rPr>
          <w:lang w:val="en-US"/>
        </w:rPr>
      </w:pPr>
      <w:r>
        <w:rPr>
          <w:lang w:val="en-US"/>
        </w:rPr>
        <w:fldChar w:fldCharType="begin"/>
      </w:r>
      <w:r>
        <w:rPr>
          <w:lang w:val="en-US"/>
        </w:rPr>
        <w:instrText xml:space="preserve"> REF _Ref146537269 \h </w:instrText>
      </w:r>
      <w:r>
        <w:rPr>
          <w:lang w:val="en-US"/>
        </w:rPr>
      </w:r>
      <w:r>
        <w:rPr>
          <w:lang w:val="en-US"/>
        </w:rPr>
        <w:fldChar w:fldCharType="separate"/>
      </w:r>
      <w:r w:rsidR="004D336C" w:rsidRPr="00AD7ADF">
        <w:t xml:space="preserve">Figure </w:t>
      </w:r>
      <w:r w:rsidR="004D336C">
        <w:rPr>
          <w:noProof/>
        </w:rPr>
        <w:t>6</w:t>
      </w:r>
      <w:r>
        <w:rPr>
          <w:lang w:val="en-US"/>
        </w:rPr>
        <w:fldChar w:fldCharType="end"/>
      </w:r>
      <w:r w:rsidR="00442BDF">
        <w:rPr>
          <w:lang w:val="en-US"/>
        </w:rPr>
        <w:t xml:space="preserve"> </w:t>
      </w:r>
      <w:r w:rsidR="001738C6" w:rsidRPr="005B4A37">
        <w:rPr>
          <w:lang w:val="en-US"/>
        </w:rPr>
        <w:t xml:space="preserve">shows the </w:t>
      </w:r>
      <w:r w:rsidR="001738C6">
        <w:rPr>
          <w:lang w:val="en-US"/>
        </w:rPr>
        <w:t>victim U</w:t>
      </w:r>
      <w:r w:rsidR="001738C6" w:rsidRPr="005B4A37">
        <w:rPr>
          <w:lang w:val="en-US"/>
        </w:rPr>
        <w:t>L SINR at 5</w:t>
      </w:r>
      <w:r w:rsidR="001738C6" w:rsidRPr="00EF7212">
        <w:rPr>
          <w:vertAlign w:val="superscript"/>
          <w:lang w:val="en-US"/>
        </w:rPr>
        <w:t>th</w:t>
      </w:r>
      <w:r w:rsidR="001738C6" w:rsidRPr="005B4A37">
        <w:rPr>
          <w:lang w:val="en-US"/>
        </w:rPr>
        <w:t xml:space="preserve"> and 50</w:t>
      </w:r>
      <w:r w:rsidR="001738C6" w:rsidRPr="00EF7212">
        <w:rPr>
          <w:vertAlign w:val="superscript"/>
          <w:lang w:val="en-US"/>
        </w:rPr>
        <w:t>th</w:t>
      </w:r>
      <w:r w:rsidR="001738C6" w:rsidRPr="005B4A37">
        <w:rPr>
          <w:lang w:val="en-US"/>
        </w:rPr>
        <w:t xml:space="preserve"> percentiles </w:t>
      </w:r>
      <w:r w:rsidR="001738C6">
        <w:rPr>
          <w:lang w:val="en-US"/>
        </w:rPr>
        <w:t>and the victim UL throughput at 5</w:t>
      </w:r>
      <w:r w:rsidR="001738C6" w:rsidRPr="009703BE">
        <w:rPr>
          <w:vertAlign w:val="superscript"/>
          <w:lang w:val="en-US"/>
        </w:rPr>
        <w:t>th</w:t>
      </w:r>
      <w:r w:rsidR="001738C6">
        <w:rPr>
          <w:lang w:val="en-US"/>
        </w:rPr>
        <w:t xml:space="preserve"> percentile and average. The figure includes</w:t>
      </w:r>
      <w:r w:rsidR="001738C6" w:rsidRPr="005B4A37">
        <w:rPr>
          <w:lang w:val="en-US"/>
        </w:rPr>
        <w:t xml:space="preserve"> cases </w:t>
      </w:r>
      <w:r w:rsidR="000573A1">
        <w:rPr>
          <w:lang w:val="en-US"/>
        </w:rPr>
        <w:t>with</w:t>
      </w:r>
      <w:r w:rsidR="001738C6" w:rsidRPr="005B4A37">
        <w:rPr>
          <w:lang w:val="en-US"/>
        </w:rPr>
        <w:t xml:space="preserve"> no </w:t>
      </w:r>
      <w:r w:rsidR="001738C6">
        <w:rPr>
          <w:lang w:val="en-US"/>
        </w:rPr>
        <w:t>adjacent channel interference (ACI)</w:t>
      </w:r>
      <w:r w:rsidR="001738C6" w:rsidRPr="005B4A37">
        <w:rPr>
          <w:lang w:val="en-US"/>
        </w:rPr>
        <w:t xml:space="preserve">, and when ACI is generated by TDD </w:t>
      </w:r>
      <w:r w:rsidR="001738C6">
        <w:rPr>
          <w:lang w:val="en-US"/>
        </w:rPr>
        <w:t>U</w:t>
      </w:r>
      <w:r w:rsidR="001738C6" w:rsidRPr="005B4A37">
        <w:rPr>
          <w:lang w:val="en-US"/>
        </w:rPr>
        <w:t>L or SBFD</w:t>
      </w:r>
      <w:r w:rsidR="00E16D3D">
        <w:rPr>
          <w:lang w:val="en-US"/>
        </w:rPr>
        <w:t xml:space="preserve">. </w:t>
      </w:r>
      <w:r w:rsidR="00B16620">
        <w:rPr>
          <w:lang w:val="en-US"/>
        </w:rPr>
        <w:t xml:space="preserve">We focus here on simulations with SBFD antenna configuration 2 and </w:t>
      </w:r>
      <w:r w:rsidR="00830B4C">
        <w:rPr>
          <w:lang w:val="en-US"/>
        </w:rPr>
        <w:t>grid offsets of 1</w:t>
      </w:r>
      <w:r w:rsidR="00507FD5">
        <w:rPr>
          <w:lang w:val="en-US"/>
        </w:rPr>
        <w:t>00% and 10%</w:t>
      </w:r>
      <w:r w:rsidR="00830B4C">
        <w:rPr>
          <w:lang w:val="en-US"/>
        </w:rPr>
        <w:t xml:space="preserve">. </w:t>
      </w:r>
      <w:r w:rsidR="001E3494">
        <w:rPr>
          <w:lang w:val="en-US"/>
        </w:rPr>
        <w:t xml:space="preserve">From the figure we can conclude that </w:t>
      </w:r>
      <w:r w:rsidR="00646A87">
        <w:rPr>
          <w:lang w:val="en-US"/>
        </w:rPr>
        <w:t xml:space="preserve">SBFD </w:t>
      </w:r>
      <w:r w:rsidR="00DD4358">
        <w:rPr>
          <w:lang w:val="en-US"/>
        </w:rPr>
        <w:t xml:space="preserve">is </w:t>
      </w:r>
      <w:r w:rsidR="0014718B">
        <w:rPr>
          <w:lang w:val="en-US"/>
        </w:rPr>
        <w:t>worse neighbour networ</w:t>
      </w:r>
      <w:r w:rsidR="002D0CD4">
        <w:rPr>
          <w:lang w:val="en-US"/>
        </w:rPr>
        <w:t>k</w:t>
      </w:r>
      <w:r w:rsidR="0014718B">
        <w:rPr>
          <w:lang w:val="en-US"/>
        </w:rPr>
        <w:t xml:space="preserve"> </w:t>
      </w:r>
      <w:r w:rsidR="00DD4358">
        <w:rPr>
          <w:lang w:val="en-US"/>
        </w:rPr>
        <w:t>than</w:t>
      </w:r>
      <w:r w:rsidR="0014718B">
        <w:rPr>
          <w:lang w:val="en-US"/>
        </w:rPr>
        <w:t xml:space="preserve"> TDD UL. The reason for this is the </w:t>
      </w:r>
      <w:r w:rsidR="002D0CD4">
        <w:rPr>
          <w:lang w:val="en-US"/>
        </w:rPr>
        <w:t>BS-to-BS ACI</w:t>
      </w:r>
      <w:r w:rsidR="008A0F35">
        <w:rPr>
          <w:lang w:val="en-US"/>
        </w:rPr>
        <w:t xml:space="preserve"> component</w:t>
      </w:r>
      <w:r w:rsidR="002D0CD4">
        <w:rPr>
          <w:lang w:val="en-US"/>
        </w:rPr>
        <w:t xml:space="preserve">, which is not present if the victim and aggressor </w:t>
      </w:r>
      <w:r w:rsidR="008A0F35">
        <w:rPr>
          <w:lang w:val="en-US"/>
        </w:rPr>
        <w:t xml:space="preserve">adopt synchronized </w:t>
      </w:r>
      <w:r w:rsidR="002D0CD4">
        <w:rPr>
          <w:lang w:val="en-US"/>
        </w:rPr>
        <w:t>TDD</w:t>
      </w:r>
      <w:r w:rsidR="008A0F35">
        <w:rPr>
          <w:lang w:val="en-US"/>
        </w:rPr>
        <w:t>.</w:t>
      </w:r>
      <w:r w:rsidR="002D0CD4">
        <w:rPr>
          <w:lang w:val="en-US"/>
        </w:rPr>
        <w:t xml:space="preserve"> </w:t>
      </w:r>
      <w:r w:rsidR="004F4664">
        <w:rPr>
          <w:lang w:val="en-US"/>
        </w:rPr>
        <w:t xml:space="preserve">If TDD UL is adopted at the aggressor network, the </w:t>
      </w:r>
      <w:r w:rsidR="00F14373">
        <w:rPr>
          <w:lang w:val="en-US"/>
        </w:rPr>
        <w:t xml:space="preserve">BS-to-BS ACI is not </w:t>
      </w:r>
      <w:proofErr w:type="gramStart"/>
      <w:r w:rsidR="00F14373">
        <w:rPr>
          <w:lang w:val="en-US"/>
        </w:rPr>
        <w:t>present</w:t>
      </w:r>
      <w:proofErr w:type="gramEnd"/>
      <w:r w:rsidR="00F14373">
        <w:rPr>
          <w:lang w:val="en-US"/>
        </w:rPr>
        <w:t xml:space="preserve"> </w:t>
      </w:r>
      <w:r w:rsidR="004F4664">
        <w:rPr>
          <w:lang w:val="en-US"/>
        </w:rPr>
        <w:t>and</w:t>
      </w:r>
      <w:r w:rsidR="00F14373">
        <w:rPr>
          <w:lang w:val="en-US"/>
        </w:rPr>
        <w:t xml:space="preserve"> the effect of the grid shift is not noticeable</w:t>
      </w:r>
      <w:r w:rsidR="004F4664">
        <w:rPr>
          <w:lang w:val="en-US"/>
        </w:rPr>
        <w:t>.</w:t>
      </w:r>
      <w:r w:rsidR="00F96814">
        <w:rPr>
          <w:lang w:val="en-US"/>
        </w:rPr>
        <w:t xml:space="preserve"> </w:t>
      </w:r>
      <w:r w:rsidR="00F14373">
        <w:rPr>
          <w:lang w:val="en-US"/>
        </w:rPr>
        <w:t xml:space="preserve">However, </w:t>
      </w:r>
      <w:r w:rsidR="006204B3">
        <w:rPr>
          <w:lang w:val="en-US"/>
        </w:rPr>
        <w:t>t</w:t>
      </w:r>
      <w:r w:rsidR="000C418D">
        <w:rPr>
          <w:lang w:val="en-US"/>
        </w:rPr>
        <w:t>he effect of the grid shift is quite visible for SBFD as aggressor.</w:t>
      </w:r>
      <w:r w:rsidR="007548BC">
        <w:rPr>
          <w:lang w:val="en-US"/>
        </w:rPr>
        <w:t xml:space="preserve"> Moreover, the </w:t>
      </w:r>
      <w:r w:rsidR="005A6F26">
        <w:rPr>
          <w:lang w:val="en-US"/>
        </w:rPr>
        <w:t>high-power</w:t>
      </w:r>
      <w:r w:rsidR="007548BC">
        <w:rPr>
          <w:lang w:val="en-US"/>
        </w:rPr>
        <w:t xml:space="preserve"> BS-to-BS interference results in the blocking of the victim BS receiver</w:t>
      </w:r>
      <w:r w:rsidR="005A6F26">
        <w:rPr>
          <w:lang w:val="en-US"/>
        </w:rPr>
        <w:t xml:space="preserve"> </w:t>
      </w:r>
      <w:r w:rsidR="00F96814">
        <w:rPr>
          <w:lang w:val="en-US"/>
        </w:rPr>
        <w:t>at the 5</w:t>
      </w:r>
      <w:r w:rsidR="00F96814" w:rsidRPr="00B334F7">
        <w:rPr>
          <w:vertAlign w:val="superscript"/>
          <w:lang w:val="en-US"/>
        </w:rPr>
        <w:t>th</w:t>
      </w:r>
      <w:r w:rsidR="00F96814">
        <w:rPr>
          <w:lang w:val="en-US"/>
        </w:rPr>
        <w:t xml:space="preserve"> percentile </w:t>
      </w:r>
      <w:r w:rsidR="005A6F26">
        <w:rPr>
          <w:lang w:val="en-US"/>
        </w:rPr>
        <w:t>when SBFD is adopted</w:t>
      </w:r>
      <w:r w:rsidR="00A71CB9">
        <w:rPr>
          <w:lang w:val="en-US"/>
        </w:rPr>
        <w:t xml:space="preserve">. </w:t>
      </w:r>
    </w:p>
    <w:p w14:paraId="2BE24126" w14:textId="3D3AD585" w:rsidR="000807AF" w:rsidRDefault="007B3EDF" w:rsidP="00B334F7">
      <w:pPr>
        <w:keepNext/>
        <w:jc w:val="center"/>
      </w:pPr>
      <w:r w:rsidRPr="007B3EDF">
        <w:rPr>
          <w:noProof/>
        </w:rPr>
        <w:drawing>
          <wp:inline distT="0" distB="0" distL="0" distR="0" wp14:anchorId="20E02939" wp14:editId="439F96E4">
            <wp:extent cx="5216055" cy="3601941"/>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rotWithShape="1">
                    <a:blip r:embed="rId18">
                      <a:extLst>
                        <a:ext uri="{28A0092B-C50C-407E-A947-70E740481C1C}">
                          <a14:useLocalDpi xmlns:a14="http://schemas.microsoft.com/office/drawing/2010/main" val="0"/>
                        </a:ext>
                      </a:extLst>
                    </a:blip>
                    <a:srcRect l="6890" t="3053" r="7817" b="4739"/>
                    <a:stretch/>
                  </pic:blipFill>
                  <pic:spPr bwMode="auto">
                    <a:xfrm>
                      <a:off x="0" y="0"/>
                      <a:ext cx="5216257" cy="3602081"/>
                    </a:xfrm>
                    <a:prstGeom prst="rect">
                      <a:avLst/>
                    </a:prstGeom>
                    <a:noFill/>
                    <a:ln>
                      <a:noFill/>
                    </a:ln>
                    <a:extLst>
                      <a:ext uri="{53640926-AAD7-44D8-BBD7-CCE9431645EC}">
                        <a14:shadowObscured xmlns:a14="http://schemas.microsoft.com/office/drawing/2010/main"/>
                      </a:ext>
                    </a:extLst>
                  </pic:spPr>
                </pic:pic>
              </a:graphicData>
            </a:graphic>
          </wp:inline>
        </w:drawing>
      </w:r>
    </w:p>
    <w:p w14:paraId="68C8FF69" w14:textId="03B8AB16" w:rsidR="000807AF" w:rsidRDefault="000807AF" w:rsidP="00B334F7">
      <w:pPr>
        <w:pStyle w:val="Caption"/>
        <w:jc w:val="center"/>
        <w:rPr>
          <w:lang w:val="en-US"/>
        </w:rPr>
      </w:pPr>
      <w:bookmarkStart w:id="20" w:name="_Ref146537269"/>
      <w:bookmarkStart w:id="21" w:name="_Ref146537265"/>
      <w:r w:rsidRPr="00AD7ADF">
        <w:t xml:space="preserve">Figure </w:t>
      </w:r>
      <w:r w:rsidRPr="00AD7ADF">
        <w:fldChar w:fldCharType="begin"/>
      </w:r>
      <w:r w:rsidRPr="00AD7ADF">
        <w:instrText xml:space="preserve"> SEQ Figure \* ARABIC </w:instrText>
      </w:r>
      <w:r w:rsidRPr="00AD7ADF">
        <w:fldChar w:fldCharType="separate"/>
      </w:r>
      <w:r w:rsidR="004D336C">
        <w:rPr>
          <w:noProof/>
        </w:rPr>
        <w:t>6</w:t>
      </w:r>
      <w:r w:rsidRPr="00AD7ADF">
        <w:fldChar w:fldCharType="end"/>
      </w:r>
      <w:bookmarkEnd w:id="20"/>
      <w:r w:rsidRPr="00AD7ADF">
        <w:t xml:space="preserve">. </w:t>
      </w:r>
      <w:r w:rsidR="00AD7ADF" w:rsidRPr="00AD7ADF">
        <w:t xml:space="preserve">Comparison of </w:t>
      </w:r>
      <w:r w:rsidR="00AD7ADF">
        <w:t>U</w:t>
      </w:r>
      <w:r w:rsidR="00AD7ADF" w:rsidRPr="00AD7ADF">
        <w:t xml:space="preserve">L SINR and </w:t>
      </w:r>
      <w:r w:rsidR="00AD7ADF">
        <w:t>U</w:t>
      </w:r>
      <w:r w:rsidR="00AD7ADF" w:rsidRPr="00AD7ADF">
        <w:t xml:space="preserve">L throughput for Case </w:t>
      </w:r>
      <w:r w:rsidR="00AD7ADF">
        <w:t>2</w:t>
      </w:r>
      <w:r w:rsidR="00AD7ADF" w:rsidRPr="00AD7ADF">
        <w:t xml:space="preserve"> Urban Macro scenario</w:t>
      </w:r>
      <w:r w:rsidR="00AD7ADF" w:rsidRPr="00B334F7" w:rsidDel="00AD7ADF">
        <w:t xml:space="preserve"> </w:t>
      </w:r>
      <w:bookmarkEnd w:id="21"/>
    </w:p>
    <w:p w14:paraId="1BCD9E06" w14:textId="77777777" w:rsidR="00B91964" w:rsidRDefault="00B91964" w:rsidP="00045C44">
      <w:pPr>
        <w:rPr>
          <w:lang w:val="en-US"/>
        </w:rPr>
      </w:pPr>
    </w:p>
    <w:p w14:paraId="793CFF72" w14:textId="6CCCD488" w:rsidR="008A01E8" w:rsidRDefault="00E727C5" w:rsidP="00B334F7">
      <w:pPr>
        <w:keepNext/>
        <w:rPr>
          <w:lang w:val="en-US"/>
        </w:rPr>
      </w:pPr>
      <w:r w:rsidRPr="007E7FFA">
        <w:rPr>
          <w:lang w:val="en-US"/>
        </w:rPr>
        <w:lastRenderedPageBreak/>
        <w:t>In</w:t>
      </w:r>
      <w:r w:rsidR="000F3249" w:rsidRPr="007E7FFA">
        <w:rPr>
          <w:lang w:val="en-US"/>
        </w:rPr>
        <w:t xml:space="preserve"> </w:t>
      </w:r>
      <w:r w:rsidR="000F3249" w:rsidRPr="007E7FFA">
        <w:rPr>
          <w:lang w:val="en-US"/>
        </w:rPr>
        <w:fldChar w:fldCharType="begin"/>
      </w:r>
      <w:r w:rsidR="000F3249" w:rsidRPr="007E7FFA">
        <w:rPr>
          <w:lang w:val="en-US"/>
        </w:rPr>
        <w:instrText xml:space="preserve"> REF _Ref146583243 \h </w:instrText>
      </w:r>
      <w:r w:rsidR="000F3249" w:rsidRPr="007E7FFA">
        <w:rPr>
          <w:lang w:val="en-US"/>
        </w:rPr>
      </w:r>
      <w:r w:rsidR="000F3249" w:rsidRPr="007E7FFA">
        <w:rPr>
          <w:lang w:val="en-US"/>
        </w:rPr>
        <w:fldChar w:fldCharType="separate"/>
      </w:r>
      <w:r w:rsidR="004D336C">
        <w:t xml:space="preserve">Table </w:t>
      </w:r>
      <w:r w:rsidR="004D336C">
        <w:rPr>
          <w:noProof/>
        </w:rPr>
        <w:t>6</w:t>
      </w:r>
      <w:r w:rsidR="000F3249" w:rsidRPr="007E7FFA">
        <w:rPr>
          <w:lang w:val="en-US"/>
        </w:rPr>
        <w:fldChar w:fldCharType="end"/>
      </w:r>
      <w:r w:rsidRPr="007E7FFA">
        <w:rPr>
          <w:lang w:val="en-US"/>
        </w:rPr>
        <w:t xml:space="preserve"> we provide a </w:t>
      </w:r>
      <w:r w:rsidR="007679F4" w:rsidRPr="007E7FFA">
        <w:rPr>
          <w:lang w:val="en-US"/>
        </w:rPr>
        <w:t xml:space="preserve">performance </w:t>
      </w:r>
      <w:r w:rsidRPr="007E7FFA">
        <w:rPr>
          <w:lang w:val="en-US"/>
        </w:rPr>
        <w:t>summary for different aggressor BS antenna configuration</w:t>
      </w:r>
      <w:r w:rsidR="00E758B9" w:rsidRPr="007E7FFA">
        <w:rPr>
          <w:lang w:val="en-US"/>
        </w:rPr>
        <w:t>s</w:t>
      </w:r>
      <w:r w:rsidRPr="007E7FFA">
        <w:rPr>
          <w:lang w:val="en-US"/>
        </w:rPr>
        <w:t xml:space="preserve"> and </w:t>
      </w:r>
      <w:r w:rsidR="0059023A" w:rsidRPr="007E7FFA">
        <w:rPr>
          <w:lang w:val="en-US"/>
        </w:rPr>
        <w:t xml:space="preserve">grid shifts. The main conclusion from </w:t>
      </w:r>
      <w:r w:rsidR="00E758B9" w:rsidRPr="007E7FFA">
        <w:rPr>
          <w:lang w:val="en-US"/>
        </w:rPr>
        <w:fldChar w:fldCharType="begin"/>
      </w:r>
      <w:r w:rsidR="00E758B9" w:rsidRPr="007E7FFA">
        <w:rPr>
          <w:lang w:val="en-US"/>
        </w:rPr>
        <w:instrText xml:space="preserve"> REF _Ref146536979 \h </w:instrText>
      </w:r>
      <w:r w:rsidR="00E758B9" w:rsidRPr="007E7FFA">
        <w:rPr>
          <w:lang w:val="en-US"/>
        </w:rPr>
      </w:r>
      <w:r w:rsidR="00E758B9" w:rsidRPr="007E7FFA">
        <w:rPr>
          <w:lang w:val="en-US"/>
        </w:rPr>
        <w:fldChar w:fldCharType="end"/>
      </w:r>
      <w:r w:rsidR="0059023A" w:rsidRPr="007E7FFA">
        <w:rPr>
          <w:lang w:val="en-US"/>
        </w:rPr>
        <w:t xml:space="preserve"> is that SBFD </w:t>
      </w:r>
      <w:r w:rsidR="00C14887" w:rsidRPr="007E7FFA">
        <w:rPr>
          <w:lang w:val="en-US"/>
        </w:rPr>
        <w:t xml:space="preserve">heavily degrades the TDD UL performance of the victim for any of the considered configurations. In many of the cases such degradation </w:t>
      </w:r>
      <w:r w:rsidR="00E94A8F" w:rsidRPr="007E7FFA">
        <w:rPr>
          <w:lang w:val="en-US"/>
        </w:rPr>
        <w:t>brings the victim UL throughput to 0 and therefore SBFD operation during TDD UL slots and symbols is not recommended.</w:t>
      </w:r>
    </w:p>
    <w:p w14:paraId="3AAE2E05" w14:textId="77777777" w:rsidR="005267E4" w:rsidRDefault="005267E4" w:rsidP="00B334F7">
      <w:pPr>
        <w:keepNext/>
        <w:jc w:val="center"/>
      </w:pPr>
    </w:p>
    <w:p w14:paraId="25F5704B" w14:textId="5C85D028" w:rsidR="007A4A88" w:rsidRDefault="007A4A88" w:rsidP="00B334F7">
      <w:pPr>
        <w:pStyle w:val="Caption"/>
        <w:keepNext/>
      </w:pPr>
      <w:bookmarkStart w:id="22" w:name="_Ref146583243"/>
      <w:r>
        <w:t xml:space="preserve">Table </w:t>
      </w:r>
      <w:r>
        <w:fldChar w:fldCharType="begin"/>
      </w:r>
      <w:r>
        <w:instrText xml:space="preserve"> SEQ Table \* ARABIC </w:instrText>
      </w:r>
      <w:r>
        <w:fldChar w:fldCharType="separate"/>
      </w:r>
      <w:r w:rsidR="004D336C">
        <w:rPr>
          <w:noProof/>
        </w:rPr>
        <w:t>6</w:t>
      </w:r>
      <w:r>
        <w:fldChar w:fldCharType="end"/>
      </w:r>
      <w:bookmarkEnd w:id="22"/>
      <w:r w:rsidR="00E758B9">
        <w:t>. Performance summary for Case 2 Urban Macro scenario</w:t>
      </w:r>
    </w:p>
    <w:tbl>
      <w:tblPr>
        <w:tblW w:w="10524" w:type="dxa"/>
        <w:tblLook w:val="04A0" w:firstRow="1" w:lastRow="0" w:firstColumn="1" w:lastColumn="0" w:noHBand="0" w:noVBand="1"/>
      </w:tblPr>
      <w:tblGrid>
        <w:gridCol w:w="893"/>
        <w:gridCol w:w="951"/>
        <w:gridCol w:w="908"/>
        <w:gridCol w:w="1186"/>
        <w:gridCol w:w="908"/>
        <w:gridCol w:w="907"/>
        <w:gridCol w:w="951"/>
        <w:gridCol w:w="1145"/>
        <w:gridCol w:w="879"/>
        <w:gridCol w:w="896"/>
        <w:gridCol w:w="900"/>
      </w:tblGrid>
      <w:tr w:rsidR="00FD45A6" w:rsidRPr="00FD45A6" w14:paraId="3A8DB37F" w14:textId="77777777" w:rsidTr="00B334F7">
        <w:trPr>
          <w:trHeight w:val="315"/>
        </w:trPr>
        <w:tc>
          <w:tcPr>
            <w:tcW w:w="10524"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EF549C"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1: FR1 Urban Macro</w:t>
            </w:r>
            <w:r w:rsidRPr="00B334F7">
              <w:rPr>
                <w:rFonts w:ascii="Times New Roman" w:eastAsia="Times New Roman" w:hAnsi="Times New Roman" w:cs="Times New Roman"/>
                <w:b/>
                <w:bCs/>
                <w:sz w:val="16"/>
                <w:szCs w:val="16"/>
                <w:lang w:val="en-US"/>
              </w:rPr>
              <w:br/>
              <w:t>Case 2: TDD UL as victim</w:t>
            </w:r>
          </w:p>
        </w:tc>
      </w:tr>
      <w:tr w:rsidR="00FD45A6" w:rsidRPr="00FD45A6" w14:paraId="25849AB0" w14:textId="77777777" w:rsidTr="00B334F7">
        <w:trPr>
          <w:trHeight w:val="300"/>
        </w:trPr>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14:paraId="692BEC45"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55140ACD"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908" w:type="dxa"/>
            <w:vMerge w:val="restart"/>
            <w:tcBorders>
              <w:top w:val="nil"/>
              <w:left w:val="single" w:sz="4" w:space="0" w:color="auto"/>
              <w:bottom w:val="single" w:sz="4" w:space="0" w:color="auto"/>
              <w:right w:val="single" w:sz="4" w:space="0" w:color="auto"/>
            </w:tcBorders>
            <w:shd w:val="clear" w:color="auto" w:fill="auto"/>
            <w:vAlign w:val="center"/>
            <w:hideMark/>
          </w:tcPr>
          <w:p w14:paraId="7CEF3E59"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86" w:type="dxa"/>
            <w:vMerge w:val="restart"/>
            <w:tcBorders>
              <w:top w:val="nil"/>
              <w:left w:val="single" w:sz="4" w:space="0" w:color="auto"/>
              <w:bottom w:val="single" w:sz="4" w:space="0" w:color="auto"/>
              <w:right w:val="single" w:sz="4" w:space="0" w:color="auto"/>
            </w:tcBorders>
            <w:shd w:val="clear" w:color="auto" w:fill="auto"/>
            <w:vAlign w:val="center"/>
            <w:hideMark/>
          </w:tcPr>
          <w:p w14:paraId="0137E169"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908" w:type="dxa"/>
            <w:vMerge w:val="restart"/>
            <w:tcBorders>
              <w:top w:val="nil"/>
              <w:left w:val="single" w:sz="4" w:space="0" w:color="auto"/>
              <w:bottom w:val="single" w:sz="4" w:space="0" w:color="auto"/>
              <w:right w:val="single" w:sz="4" w:space="0" w:color="auto"/>
            </w:tcBorders>
            <w:shd w:val="clear" w:color="auto" w:fill="auto"/>
            <w:vAlign w:val="center"/>
            <w:hideMark/>
          </w:tcPr>
          <w:p w14:paraId="57CF1D09"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14:paraId="3F99BC56"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07DAFAEC"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20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D8F4BE"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7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320206"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FD45A6" w:rsidRPr="00FD45A6" w14:paraId="45FAA850" w14:textId="77777777" w:rsidTr="00B334F7">
        <w:trPr>
          <w:trHeight w:val="300"/>
        </w:trPr>
        <w:tc>
          <w:tcPr>
            <w:tcW w:w="893" w:type="dxa"/>
            <w:vMerge/>
            <w:tcBorders>
              <w:top w:val="nil"/>
              <w:left w:val="single" w:sz="4" w:space="0" w:color="auto"/>
              <w:bottom w:val="single" w:sz="4" w:space="0" w:color="auto"/>
              <w:right w:val="single" w:sz="4" w:space="0" w:color="auto"/>
            </w:tcBorders>
            <w:vAlign w:val="center"/>
            <w:hideMark/>
          </w:tcPr>
          <w:p w14:paraId="6B2F2B2D"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1" w:type="dxa"/>
            <w:vMerge/>
            <w:tcBorders>
              <w:top w:val="nil"/>
              <w:left w:val="single" w:sz="4" w:space="0" w:color="auto"/>
              <w:bottom w:val="single" w:sz="4" w:space="0" w:color="auto"/>
              <w:right w:val="single" w:sz="4" w:space="0" w:color="auto"/>
            </w:tcBorders>
            <w:vAlign w:val="center"/>
            <w:hideMark/>
          </w:tcPr>
          <w:p w14:paraId="0B984401"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8" w:type="dxa"/>
            <w:vMerge/>
            <w:tcBorders>
              <w:top w:val="nil"/>
              <w:left w:val="single" w:sz="4" w:space="0" w:color="auto"/>
              <w:bottom w:val="single" w:sz="4" w:space="0" w:color="auto"/>
              <w:right w:val="single" w:sz="4" w:space="0" w:color="auto"/>
            </w:tcBorders>
            <w:vAlign w:val="center"/>
            <w:hideMark/>
          </w:tcPr>
          <w:p w14:paraId="6B758824"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86" w:type="dxa"/>
            <w:vMerge/>
            <w:tcBorders>
              <w:top w:val="nil"/>
              <w:left w:val="single" w:sz="4" w:space="0" w:color="auto"/>
              <w:bottom w:val="single" w:sz="4" w:space="0" w:color="auto"/>
              <w:right w:val="single" w:sz="4" w:space="0" w:color="auto"/>
            </w:tcBorders>
            <w:vAlign w:val="center"/>
            <w:hideMark/>
          </w:tcPr>
          <w:p w14:paraId="16F4CC9C"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8" w:type="dxa"/>
            <w:vMerge/>
            <w:tcBorders>
              <w:top w:val="nil"/>
              <w:left w:val="single" w:sz="4" w:space="0" w:color="auto"/>
              <w:bottom w:val="single" w:sz="4" w:space="0" w:color="auto"/>
              <w:right w:val="single" w:sz="4" w:space="0" w:color="auto"/>
            </w:tcBorders>
            <w:vAlign w:val="center"/>
            <w:hideMark/>
          </w:tcPr>
          <w:p w14:paraId="485A3624"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7" w:type="dxa"/>
            <w:vMerge/>
            <w:tcBorders>
              <w:top w:val="nil"/>
              <w:left w:val="single" w:sz="4" w:space="0" w:color="auto"/>
              <w:bottom w:val="single" w:sz="4" w:space="0" w:color="auto"/>
              <w:right w:val="single" w:sz="4" w:space="0" w:color="auto"/>
            </w:tcBorders>
            <w:vAlign w:val="center"/>
            <w:hideMark/>
          </w:tcPr>
          <w:p w14:paraId="47DBE921"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1" w:type="dxa"/>
            <w:vMerge/>
            <w:tcBorders>
              <w:top w:val="nil"/>
              <w:left w:val="single" w:sz="4" w:space="0" w:color="auto"/>
              <w:bottom w:val="single" w:sz="4" w:space="0" w:color="auto"/>
              <w:right w:val="single" w:sz="4" w:space="0" w:color="auto"/>
            </w:tcBorders>
            <w:vAlign w:val="center"/>
            <w:hideMark/>
          </w:tcPr>
          <w:p w14:paraId="5A8B7FF6"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34B8EC91"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96" w:type="dxa"/>
            <w:gridSpan w:val="2"/>
            <w:vMerge/>
            <w:tcBorders>
              <w:top w:val="single" w:sz="4" w:space="0" w:color="auto"/>
              <w:left w:val="single" w:sz="4" w:space="0" w:color="auto"/>
              <w:bottom w:val="single" w:sz="4" w:space="0" w:color="auto"/>
              <w:right w:val="single" w:sz="4" w:space="0" w:color="auto"/>
            </w:tcBorders>
            <w:vAlign w:val="center"/>
            <w:hideMark/>
          </w:tcPr>
          <w:p w14:paraId="3558353E"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FD45A6" w:rsidRPr="00FD45A6" w14:paraId="122DD04C" w14:textId="77777777" w:rsidTr="00B334F7">
        <w:trPr>
          <w:trHeight w:val="300"/>
        </w:trPr>
        <w:tc>
          <w:tcPr>
            <w:tcW w:w="893" w:type="dxa"/>
            <w:vMerge/>
            <w:tcBorders>
              <w:top w:val="nil"/>
              <w:left w:val="single" w:sz="4" w:space="0" w:color="auto"/>
              <w:bottom w:val="single" w:sz="4" w:space="0" w:color="auto"/>
              <w:right w:val="single" w:sz="4" w:space="0" w:color="auto"/>
            </w:tcBorders>
            <w:vAlign w:val="center"/>
            <w:hideMark/>
          </w:tcPr>
          <w:p w14:paraId="3C17E45F"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1" w:type="dxa"/>
            <w:vMerge/>
            <w:tcBorders>
              <w:top w:val="nil"/>
              <w:left w:val="single" w:sz="4" w:space="0" w:color="auto"/>
              <w:bottom w:val="single" w:sz="4" w:space="0" w:color="auto"/>
              <w:right w:val="single" w:sz="4" w:space="0" w:color="auto"/>
            </w:tcBorders>
            <w:vAlign w:val="center"/>
            <w:hideMark/>
          </w:tcPr>
          <w:p w14:paraId="7BA0EC25"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8" w:type="dxa"/>
            <w:vMerge/>
            <w:tcBorders>
              <w:top w:val="nil"/>
              <w:left w:val="single" w:sz="4" w:space="0" w:color="auto"/>
              <w:bottom w:val="single" w:sz="4" w:space="0" w:color="auto"/>
              <w:right w:val="single" w:sz="4" w:space="0" w:color="auto"/>
            </w:tcBorders>
            <w:vAlign w:val="center"/>
            <w:hideMark/>
          </w:tcPr>
          <w:p w14:paraId="67904D43"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86" w:type="dxa"/>
            <w:vMerge/>
            <w:tcBorders>
              <w:top w:val="nil"/>
              <w:left w:val="single" w:sz="4" w:space="0" w:color="auto"/>
              <w:bottom w:val="single" w:sz="4" w:space="0" w:color="auto"/>
              <w:right w:val="single" w:sz="4" w:space="0" w:color="auto"/>
            </w:tcBorders>
            <w:vAlign w:val="center"/>
            <w:hideMark/>
          </w:tcPr>
          <w:p w14:paraId="25F0ED11"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8" w:type="dxa"/>
            <w:vMerge/>
            <w:tcBorders>
              <w:top w:val="nil"/>
              <w:left w:val="single" w:sz="4" w:space="0" w:color="auto"/>
              <w:bottom w:val="single" w:sz="4" w:space="0" w:color="auto"/>
              <w:right w:val="single" w:sz="4" w:space="0" w:color="auto"/>
            </w:tcBorders>
            <w:vAlign w:val="center"/>
            <w:hideMark/>
          </w:tcPr>
          <w:p w14:paraId="26C363F8"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7" w:type="dxa"/>
            <w:vMerge/>
            <w:tcBorders>
              <w:top w:val="nil"/>
              <w:left w:val="single" w:sz="4" w:space="0" w:color="auto"/>
              <w:bottom w:val="single" w:sz="4" w:space="0" w:color="auto"/>
              <w:right w:val="single" w:sz="4" w:space="0" w:color="auto"/>
            </w:tcBorders>
            <w:vAlign w:val="center"/>
            <w:hideMark/>
          </w:tcPr>
          <w:p w14:paraId="30DEDCD0"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1" w:type="dxa"/>
            <w:vMerge/>
            <w:tcBorders>
              <w:top w:val="nil"/>
              <w:left w:val="single" w:sz="4" w:space="0" w:color="auto"/>
              <w:bottom w:val="single" w:sz="4" w:space="0" w:color="auto"/>
              <w:right w:val="single" w:sz="4" w:space="0" w:color="auto"/>
            </w:tcBorders>
            <w:vAlign w:val="center"/>
            <w:hideMark/>
          </w:tcPr>
          <w:p w14:paraId="70C9E87B" w14:textId="77777777" w:rsidR="00FD45A6" w:rsidRPr="00B334F7" w:rsidRDefault="00FD45A6" w:rsidP="00FD45A6">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45" w:type="dxa"/>
            <w:tcBorders>
              <w:top w:val="nil"/>
              <w:left w:val="nil"/>
              <w:bottom w:val="single" w:sz="4" w:space="0" w:color="auto"/>
              <w:right w:val="single" w:sz="4" w:space="0" w:color="auto"/>
            </w:tcBorders>
            <w:shd w:val="clear" w:color="auto" w:fill="auto"/>
            <w:vAlign w:val="center"/>
            <w:hideMark/>
          </w:tcPr>
          <w:p w14:paraId="0CE8BD7C"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79" w:type="dxa"/>
            <w:tcBorders>
              <w:top w:val="nil"/>
              <w:left w:val="nil"/>
              <w:bottom w:val="single" w:sz="4" w:space="0" w:color="auto"/>
              <w:right w:val="single" w:sz="4" w:space="0" w:color="auto"/>
            </w:tcBorders>
            <w:shd w:val="clear" w:color="auto" w:fill="auto"/>
            <w:vAlign w:val="center"/>
            <w:hideMark/>
          </w:tcPr>
          <w:p w14:paraId="57B9E8D4"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96" w:type="dxa"/>
            <w:tcBorders>
              <w:top w:val="nil"/>
              <w:left w:val="nil"/>
              <w:bottom w:val="single" w:sz="4" w:space="0" w:color="auto"/>
              <w:right w:val="single" w:sz="4" w:space="0" w:color="auto"/>
            </w:tcBorders>
            <w:shd w:val="clear" w:color="auto" w:fill="auto"/>
            <w:vAlign w:val="center"/>
            <w:hideMark/>
          </w:tcPr>
          <w:p w14:paraId="1226025B"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900" w:type="dxa"/>
            <w:tcBorders>
              <w:top w:val="nil"/>
              <w:left w:val="nil"/>
              <w:bottom w:val="single" w:sz="4" w:space="0" w:color="auto"/>
              <w:right w:val="single" w:sz="4" w:space="0" w:color="auto"/>
            </w:tcBorders>
            <w:shd w:val="clear" w:color="auto" w:fill="auto"/>
            <w:vAlign w:val="center"/>
            <w:hideMark/>
          </w:tcPr>
          <w:p w14:paraId="573521C4" w14:textId="77777777" w:rsidR="00FD45A6" w:rsidRPr="00B334F7" w:rsidRDefault="00FD45A6" w:rsidP="00FD45A6">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15721A" w:rsidRPr="00FD45A6" w14:paraId="13EF95D3" w14:textId="77777777" w:rsidTr="00FD45A6">
        <w:trPr>
          <w:trHeight w:val="300"/>
        </w:trPr>
        <w:tc>
          <w:tcPr>
            <w:tcW w:w="893" w:type="dxa"/>
            <w:tcBorders>
              <w:top w:val="nil"/>
              <w:left w:val="single" w:sz="4" w:space="0" w:color="auto"/>
              <w:bottom w:val="single" w:sz="4" w:space="0" w:color="auto"/>
              <w:right w:val="single" w:sz="4" w:space="0" w:color="auto"/>
            </w:tcBorders>
            <w:shd w:val="clear" w:color="auto" w:fill="auto"/>
            <w:vAlign w:val="center"/>
            <w:hideMark/>
          </w:tcPr>
          <w:p w14:paraId="029CA4EB"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100%</w:t>
            </w:r>
          </w:p>
        </w:tc>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4E6F6C6A"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TDD UL</w:t>
            </w:r>
          </w:p>
        </w:tc>
        <w:tc>
          <w:tcPr>
            <w:tcW w:w="908" w:type="dxa"/>
            <w:vMerge w:val="restart"/>
            <w:tcBorders>
              <w:top w:val="nil"/>
              <w:left w:val="single" w:sz="4" w:space="0" w:color="auto"/>
              <w:bottom w:val="single" w:sz="4" w:space="0" w:color="000000"/>
              <w:right w:val="single" w:sz="4" w:space="0" w:color="auto"/>
            </w:tcBorders>
            <w:shd w:val="clear" w:color="auto" w:fill="auto"/>
            <w:vAlign w:val="center"/>
            <w:hideMark/>
          </w:tcPr>
          <w:p w14:paraId="239EFC53"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TDD UL</w:t>
            </w:r>
          </w:p>
        </w:tc>
        <w:tc>
          <w:tcPr>
            <w:tcW w:w="1186" w:type="dxa"/>
            <w:tcBorders>
              <w:top w:val="nil"/>
              <w:left w:val="nil"/>
              <w:bottom w:val="single" w:sz="4" w:space="0" w:color="auto"/>
              <w:right w:val="single" w:sz="4" w:space="0" w:color="auto"/>
            </w:tcBorders>
            <w:shd w:val="clear" w:color="auto" w:fill="auto"/>
            <w:vAlign w:val="center"/>
            <w:hideMark/>
          </w:tcPr>
          <w:p w14:paraId="2542B028"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N/A</w:t>
            </w:r>
          </w:p>
        </w:tc>
        <w:tc>
          <w:tcPr>
            <w:tcW w:w="908" w:type="dxa"/>
            <w:vMerge w:val="restart"/>
            <w:tcBorders>
              <w:top w:val="nil"/>
              <w:left w:val="single" w:sz="4" w:space="0" w:color="auto"/>
              <w:bottom w:val="single" w:sz="4" w:space="0" w:color="auto"/>
              <w:right w:val="single" w:sz="4" w:space="0" w:color="auto"/>
            </w:tcBorders>
            <w:shd w:val="clear" w:color="auto" w:fill="auto"/>
            <w:vAlign w:val="center"/>
            <w:hideMark/>
          </w:tcPr>
          <w:p w14:paraId="0A6CA442"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Option 2: TDD: 53 dBm</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14:paraId="04E63486"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Enabled, without sub-band filtering</w:t>
            </w:r>
          </w:p>
        </w:tc>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0E79A32B"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Option 2: TDD: 53 dBm</w:t>
            </w:r>
          </w:p>
        </w:tc>
        <w:tc>
          <w:tcPr>
            <w:tcW w:w="1145" w:type="dxa"/>
            <w:tcBorders>
              <w:top w:val="nil"/>
              <w:left w:val="nil"/>
              <w:bottom w:val="single" w:sz="4" w:space="0" w:color="auto"/>
              <w:right w:val="single" w:sz="4" w:space="0" w:color="auto"/>
            </w:tcBorders>
            <w:shd w:val="clear" w:color="auto" w:fill="auto"/>
            <w:noWrap/>
            <w:vAlign w:val="center"/>
            <w:hideMark/>
          </w:tcPr>
          <w:p w14:paraId="6B755BB8"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0.34</w:t>
            </w:r>
          </w:p>
        </w:tc>
        <w:tc>
          <w:tcPr>
            <w:tcW w:w="879" w:type="dxa"/>
            <w:tcBorders>
              <w:top w:val="nil"/>
              <w:left w:val="nil"/>
              <w:bottom w:val="single" w:sz="4" w:space="0" w:color="auto"/>
              <w:right w:val="single" w:sz="4" w:space="0" w:color="auto"/>
            </w:tcBorders>
            <w:shd w:val="clear" w:color="auto" w:fill="auto"/>
            <w:noWrap/>
            <w:vAlign w:val="center"/>
            <w:hideMark/>
          </w:tcPr>
          <w:p w14:paraId="104C9D67"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0.14</w:t>
            </w:r>
          </w:p>
        </w:tc>
        <w:tc>
          <w:tcPr>
            <w:tcW w:w="89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63F401F"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FD45A6">
              <w:rPr>
                <w:rFonts w:ascii="Times New Roman" w:eastAsia="Times New Roman" w:hAnsi="Times New Roman" w:cs="Times New Roman"/>
                <w:color w:val="9C0006"/>
                <w:sz w:val="16"/>
                <w:szCs w:val="16"/>
                <w:lang w:val="en-US"/>
              </w:rPr>
              <w:t>5.62</w:t>
            </w:r>
          </w:p>
        </w:tc>
        <w:tc>
          <w:tcPr>
            <w:tcW w:w="900" w:type="dxa"/>
            <w:tcBorders>
              <w:top w:val="nil"/>
              <w:left w:val="nil"/>
              <w:bottom w:val="single" w:sz="4" w:space="0" w:color="auto"/>
              <w:right w:val="single" w:sz="4" w:space="0" w:color="auto"/>
            </w:tcBorders>
            <w:shd w:val="clear" w:color="auto" w:fill="auto"/>
            <w:noWrap/>
            <w:vAlign w:val="center"/>
            <w:hideMark/>
          </w:tcPr>
          <w:p w14:paraId="238BDEF3"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1.42</w:t>
            </w:r>
          </w:p>
        </w:tc>
      </w:tr>
      <w:tr w:rsidR="0015721A" w:rsidRPr="00FD45A6" w14:paraId="134992C9" w14:textId="77777777" w:rsidTr="00FD45A6">
        <w:trPr>
          <w:trHeight w:val="300"/>
        </w:trPr>
        <w:tc>
          <w:tcPr>
            <w:tcW w:w="893" w:type="dxa"/>
            <w:tcBorders>
              <w:top w:val="nil"/>
              <w:left w:val="single" w:sz="4" w:space="0" w:color="auto"/>
              <w:bottom w:val="single" w:sz="4" w:space="0" w:color="auto"/>
              <w:right w:val="single" w:sz="4" w:space="0" w:color="auto"/>
            </w:tcBorders>
            <w:shd w:val="clear" w:color="auto" w:fill="auto"/>
            <w:vAlign w:val="center"/>
            <w:hideMark/>
          </w:tcPr>
          <w:p w14:paraId="69536D48"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10%</w:t>
            </w:r>
          </w:p>
        </w:tc>
        <w:tc>
          <w:tcPr>
            <w:tcW w:w="951" w:type="dxa"/>
            <w:vMerge/>
            <w:tcBorders>
              <w:top w:val="nil"/>
              <w:left w:val="single" w:sz="4" w:space="0" w:color="auto"/>
              <w:bottom w:val="single" w:sz="4" w:space="0" w:color="auto"/>
              <w:right w:val="single" w:sz="4" w:space="0" w:color="auto"/>
            </w:tcBorders>
            <w:vAlign w:val="center"/>
            <w:hideMark/>
          </w:tcPr>
          <w:p w14:paraId="409454BF"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8" w:type="dxa"/>
            <w:vMerge/>
            <w:tcBorders>
              <w:top w:val="nil"/>
              <w:left w:val="single" w:sz="4" w:space="0" w:color="auto"/>
              <w:bottom w:val="single" w:sz="4" w:space="0" w:color="000000"/>
              <w:right w:val="single" w:sz="4" w:space="0" w:color="auto"/>
            </w:tcBorders>
            <w:vAlign w:val="center"/>
            <w:hideMark/>
          </w:tcPr>
          <w:p w14:paraId="15840B51"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05B2D36F"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N/A</w:t>
            </w:r>
          </w:p>
        </w:tc>
        <w:tc>
          <w:tcPr>
            <w:tcW w:w="908" w:type="dxa"/>
            <w:vMerge/>
            <w:tcBorders>
              <w:top w:val="nil"/>
              <w:left w:val="single" w:sz="4" w:space="0" w:color="auto"/>
              <w:bottom w:val="single" w:sz="4" w:space="0" w:color="auto"/>
              <w:right w:val="single" w:sz="4" w:space="0" w:color="auto"/>
            </w:tcBorders>
            <w:vAlign w:val="center"/>
            <w:hideMark/>
          </w:tcPr>
          <w:p w14:paraId="3865F4DC"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7" w:type="dxa"/>
            <w:vMerge/>
            <w:tcBorders>
              <w:top w:val="nil"/>
              <w:left w:val="single" w:sz="4" w:space="0" w:color="auto"/>
              <w:bottom w:val="single" w:sz="4" w:space="0" w:color="auto"/>
              <w:right w:val="single" w:sz="4" w:space="0" w:color="auto"/>
            </w:tcBorders>
            <w:vAlign w:val="center"/>
            <w:hideMark/>
          </w:tcPr>
          <w:p w14:paraId="3A6F63DB"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1" w:type="dxa"/>
            <w:vMerge/>
            <w:tcBorders>
              <w:top w:val="nil"/>
              <w:left w:val="single" w:sz="4" w:space="0" w:color="auto"/>
              <w:bottom w:val="single" w:sz="4" w:space="0" w:color="auto"/>
              <w:right w:val="single" w:sz="4" w:space="0" w:color="auto"/>
            </w:tcBorders>
            <w:vAlign w:val="center"/>
            <w:hideMark/>
          </w:tcPr>
          <w:p w14:paraId="5E568A6B"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45" w:type="dxa"/>
            <w:tcBorders>
              <w:top w:val="nil"/>
              <w:left w:val="nil"/>
              <w:bottom w:val="single" w:sz="4" w:space="0" w:color="auto"/>
              <w:right w:val="single" w:sz="4" w:space="0" w:color="auto"/>
            </w:tcBorders>
            <w:shd w:val="clear" w:color="auto" w:fill="auto"/>
            <w:noWrap/>
            <w:vAlign w:val="center"/>
            <w:hideMark/>
          </w:tcPr>
          <w:p w14:paraId="39091E1D"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0.22</w:t>
            </w:r>
          </w:p>
        </w:tc>
        <w:tc>
          <w:tcPr>
            <w:tcW w:w="879" w:type="dxa"/>
            <w:tcBorders>
              <w:top w:val="nil"/>
              <w:left w:val="nil"/>
              <w:bottom w:val="single" w:sz="4" w:space="0" w:color="auto"/>
              <w:right w:val="single" w:sz="4" w:space="0" w:color="auto"/>
            </w:tcBorders>
            <w:shd w:val="clear" w:color="auto" w:fill="auto"/>
            <w:noWrap/>
            <w:vAlign w:val="center"/>
            <w:hideMark/>
          </w:tcPr>
          <w:p w14:paraId="2DD4FFF3"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0.14</w:t>
            </w:r>
          </w:p>
        </w:tc>
        <w:tc>
          <w:tcPr>
            <w:tcW w:w="896" w:type="dxa"/>
            <w:tcBorders>
              <w:top w:val="nil"/>
              <w:left w:val="nil"/>
              <w:bottom w:val="single" w:sz="4" w:space="0" w:color="auto"/>
              <w:right w:val="single" w:sz="4" w:space="0" w:color="auto"/>
            </w:tcBorders>
            <w:shd w:val="clear" w:color="auto" w:fill="auto"/>
            <w:noWrap/>
            <w:vAlign w:val="center"/>
            <w:hideMark/>
          </w:tcPr>
          <w:p w14:paraId="5F6BD6B5"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3.86</w:t>
            </w:r>
          </w:p>
        </w:tc>
        <w:tc>
          <w:tcPr>
            <w:tcW w:w="900" w:type="dxa"/>
            <w:tcBorders>
              <w:top w:val="nil"/>
              <w:left w:val="nil"/>
              <w:bottom w:val="single" w:sz="4" w:space="0" w:color="auto"/>
              <w:right w:val="single" w:sz="4" w:space="0" w:color="auto"/>
            </w:tcBorders>
            <w:shd w:val="clear" w:color="auto" w:fill="auto"/>
            <w:noWrap/>
            <w:vAlign w:val="center"/>
            <w:hideMark/>
          </w:tcPr>
          <w:p w14:paraId="4718B7E4"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1.07</w:t>
            </w:r>
          </w:p>
        </w:tc>
      </w:tr>
      <w:tr w:rsidR="0015721A" w:rsidRPr="00FD45A6" w14:paraId="3F074664" w14:textId="77777777" w:rsidTr="00FD45A6">
        <w:trPr>
          <w:trHeight w:val="450"/>
        </w:trPr>
        <w:tc>
          <w:tcPr>
            <w:tcW w:w="893" w:type="dxa"/>
            <w:tcBorders>
              <w:top w:val="nil"/>
              <w:left w:val="single" w:sz="4" w:space="0" w:color="auto"/>
              <w:bottom w:val="single" w:sz="4" w:space="0" w:color="auto"/>
              <w:right w:val="single" w:sz="4" w:space="0" w:color="auto"/>
            </w:tcBorders>
            <w:shd w:val="clear" w:color="auto" w:fill="auto"/>
            <w:vAlign w:val="center"/>
            <w:hideMark/>
          </w:tcPr>
          <w:p w14:paraId="0890D262"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100%</w:t>
            </w:r>
          </w:p>
        </w:tc>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36E3B745"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SBFD</w:t>
            </w:r>
          </w:p>
        </w:tc>
        <w:tc>
          <w:tcPr>
            <w:tcW w:w="908" w:type="dxa"/>
            <w:vMerge/>
            <w:tcBorders>
              <w:top w:val="nil"/>
              <w:left w:val="single" w:sz="4" w:space="0" w:color="auto"/>
              <w:bottom w:val="single" w:sz="4" w:space="0" w:color="000000"/>
              <w:right w:val="single" w:sz="4" w:space="0" w:color="auto"/>
            </w:tcBorders>
            <w:vAlign w:val="center"/>
            <w:hideMark/>
          </w:tcPr>
          <w:p w14:paraId="58FA9859"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20B376B6"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Option 1 (same size)</w:t>
            </w:r>
          </w:p>
        </w:tc>
        <w:tc>
          <w:tcPr>
            <w:tcW w:w="908" w:type="dxa"/>
            <w:vMerge/>
            <w:tcBorders>
              <w:top w:val="nil"/>
              <w:left w:val="single" w:sz="4" w:space="0" w:color="auto"/>
              <w:bottom w:val="single" w:sz="4" w:space="0" w:color="auto"/>
              <w:right w:val="single" w:sz="4" w:space="0" w:color="auto"/>
            </w:tcBorders>
            <w:vAlign w:val="center"/>
            <w:hideMark/>
          </w:tcPr>
          <w:p w14:paraId="1FDDD892"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7" w:type="dxa"/>
            <w:vMerge/>
            <w:tcBorders>
              <w:top w:val="nil"/>
              <w:left w:val="single" w:sz="4" w:space="0" w:color="auto"/>
              <w:bottom w:val="single" w:sz="4" w:space="0" w:color="auto"/>
              <w:right w:val="single" w:sz="4" w:space="0" w:color="auto"/>
            </w:tcBorders>
            <w:vAlign w:val="center"/>
            <w:hideMark/>
          </w:tcPr>
          <w:p w14:paraId="1CCA1236"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0F296BCD"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Option 2:</w:t>
            </w:r>
            <w:r w:rsidRPr="00FD45A6">
              <w:rPr>
                <w:rFonts w:ascii="Times New Roman" w:eastAsia="Times New Roman" w:hAnsi="Times New Roman" w:cs="Times New Roman"/>
                <w:sz w:val="16"/>
                <w:szCs w:val="16"/>
                <w:lang w:val="en-US"/>
              </w:rPr>
              <w:br/>
              <w:t>SBFD: 50 dBm</w:t>
            </w:r>
          </w:p>
        </w:tc>
        <w:tc>
          <w:tcPr>
            <w:tcW w:w="1145" w:type="dxa"/>
            <w:tcBorders>
              <w:top w:val="nil"/>
              <w:left w:val="nil"/>
              <w:bottom w:val="single" w:sz="4" w:space="0" w:color="auto"/>
              <w:right w:val="single" w:sz="4" w:space="0" w:color="auto"/>
            </w:tcBorders>
            <w:shd w:val="clear" w:color="auto" w:fill="auto"/>
            <w:noWrap/>
            <w:vAlign w:val="center"/>
            <w:hideMark/>
          </w:tcPr>
          <w:p w14:paraId="43194434"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13.86</w:t>
            </w:r>
          </w:p>
        </w:tc>
        <w:tc>
          <w:tcPr>
            <w:tcW w:w="879" w:type="dxa"/>
            <w:tcBorders>
              <w:top w:val="nil"/>
              <w:left w:val="nil"/>
              <w:bottom w:val="single" w:sz="4" w:space="0" w:color="auto"/>
              <w:right w:val="single" w:sz="4" w:space="0" w:color="auto"/>
            </w:tcBorders>
            <w:shd w:val="clear" w:color="auto" w:fill="auto"/>
            <w:noWrap/>
            <w:vAlign w:val="center"/>
            <w:hideMark/>
          </w:tcPr>
          <w:p w14:paraId="3B5A6997"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2.81</w:t>
            </w:r>
          </w:p>
        </w:tc>
        <w:tc>
          <w:tcPr>
            <w:tcW w:w="89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6919283"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FD45A6">
              <w:rPr>
                <w:rFonts w:ascii="Times New Roman" w:eastAsia="Times New Roman" w:hAnsi="Times New Roman" w:cs="Times New Roman"/>
                <w:color w:val="9C0006"/>
                <w:sz w:val="16"/>
                <w:szCs w:val="16"/>
                <w:lang w:val="en-US"/>
              </w:rPr>
              <w:t>100</w:t>
            </w:r>
          </w:p>
        </w:tc>
        <w:tc>
          <w:tcPr>
            <w:tcW w:w="9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9AE5818"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FD45A6">
              <w:rPr>
                <w:rFonts w:ascii="Times New Roman" w:eastAsia="Times New Roman" w:hAnsi="Times New Roman" w:cs="Times New Roman"/>
                <w:color w:val="9C0006"/>
                <w:sz w:val="16"/>
                <w:szCs w:val="16"/>
                <w:lang w:val="en-US"/>
              </w:rPr>
              <w:t>21.78</w:t>
            </w:r>
          </w:p>
        </w:tc>
      </w:tr>
      <w:tr w:rsidR="0015721A" w:rsidRPr="00FD45A6" w14:paraId="3AC39532" w14:textId="77777777" w:rsidTr="00FD45A6">
        <w:trPr>
          <w:trHeight w:val="450"/>
        </w:trPr>
        <w:tc>
          <w:tcPr>
            <w:tcW w:w="893" w:type="dxa"/>
            <w:tcBorders>
              <w:top w:val="nil"/>
              <w:left w:val="single" w:sz="4" w:space="0" w:color="auto"/>
              <w:bottom w:val="single" w:sz="4" w:space="0" w:color="auto"/>
              <w:right w:val="single" w:sz="4" w:space="0" w:color="auto"/>
            </w:tcBorders>
            <w:shd w:val="clear" w:color="auto" w:fill="auto"/>
            <w:vAlign w:val="center"/>
            <w:hideMark/>
          </w:tcPr>
          <w:p w14:paraId="15243C14"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10%</w:t>
            </w:r>
          </w:p>
        </w:tc>
        <w:tc>
          <w:tcPr>
            <w:tcW w:w="951" w:type="dxa"/>
            <w:vMerge/>
            <w:tcBorders>
              <w:top w:val="nil"/>
              <w:left w:val="single" w:sz="4" w:space="0" w:color="auto"/>
              <w:bottom w:val="single" w:sz="4" w:space="0" w:color="auto"/>
              <w:right w:val="single" w:sz="4" w:space="0" w:color="auto"/>
            </w:tcBorders>
            <w:vAlign w:val="center"/>
            <w:hideMark/>
          </w:tcPr>
          <w:p w14:paraId="2A218543"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8" w:type="dxa"/>
            <w:vMerge/>
            <w:tcBorders>
              <w:top w:val="nil"/>
              <w:left w:val="single" w:sz="4" w:space="0" w:color="auto"/>
              <w:bottom w:val="single" w:sz="4" w:space="0" w:color="000000"/>
              <w:right w:val="single" w:sz="4" w:space="0" w:color="auto"/>
            </w:tcBorders>
            <w:vAlign w:val="center"/>
            <w:hideMark/>
          </w:tcPr>
          <w:p w14:paraId="63022571"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6463528A"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Option 1 (same size)</w:t>
            </w:r>
          </w:p>
        </w:tc>
        <w:tc>
          <w:tcPr>
            <w:tcW w:w="908" w:type="dxa"/>
            <w:vMerge/>
            <w:tcBorders>
              <w:top w:val="nil"/>
              <w:left w:val="single" w:sz="4" w:space="0" w:color="auto"/>
              <w:bottom w:val="single" w:sz="4" w:space="0" w:color="auto"/>
              <w:right w:val="single" w:sz="4" w:space="0" w:color="auto"/>
            </w:tcBorders>
            <w:vAlign w:val="center"/>
            <w:hideMark/>
          </w:tcPr>
          <w:p w14:paraId="516266F3"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7" w:type="dxa"/>
            <w:vMerge/>
            <w:tcBorders>
              <w:top w:val="nil"/>
              <w:left w:val="single" w:sz="4" w:space="0" w:color="auto"/>
              <w:bottom w:val="single" w:sz="4" w:space="0" w:color="auto"/>
              <w:right w:val="single" w:sz="4" w:space="0" w:color="auto"/>
            </w:tcBorders>
            <w:vAlign w:val="center"/>
            <w:hideMark/>
          </w:tcPr>
          <w:p w14:paraId="47146AEB"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1" w:type="dxa"/>
            <w:vMerge/>
            <w:tcBorders>
              <w:top w:val="nil"/>
              <w:left w:val="single" w:sz="4" w:space="0" w:color="auto"/>
              <w:bottom w:val="single" w:sz="4" w:space="0" w:color="auto"/>
              <w:right w:val="single" w:sz="4" w:space="0" w:color="auto"/>
            </w:tcBorders>
            <w:vAlign w:val="center"/>
            <w:hideMark/>
          </w:tcPr>
          <w:p w14:paraId="75568FC3"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45" w:type="dxa"/>
            <w:tcBorders>
              <w:top w:val="nil"/>
              <w:left w:val="nil"/>
              <w:bottom w:val="single" w:sz="4" w:space="0" w:color="auto"/>
              <w:right w:val="single" w:sz="4" w:space="0" w:color="auto"/>
            </w:tcBorders>
            <w:shd w:val="clear" w:color="auto" w:fill="auto"/>
            <w:noWrap/>
            <w:vAlign w:val="center"/>
            <w:hideMark/>
          </w:tcPr>
          <w:p w14:paraId="14D6163E"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Receiver blocked</w:t>
            </w:r>
          </w:p>
        </w:tc>
        <w:tc>
          <w:tcPr>
            <w:tcW w:w="879" w:type="dxa"/>
            <w:tcBorders>
              <w:top w:val="nil"/>
              <w:left w:val="nil"/>
              <w:bottom w:val="single" w:sz="4" w:space="0" w:color="auto"/>
              <w:right w:val="single" w:sz="4" w:space="0" w:color="auto"/>
            </w:tcBorders>
            <w:shd w:val="clear" w:color="auto" w:fill="auto"/>
            <w:noWrap/>
            <w:vAlign w:val="center"/>
            <w:hideMark/>
          </w:tcPr>
          <w:p w14:paraId="741FF94D"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7.35</w:t>
            </w:r>
          </w:p>
        </w:tc>
        <w:tc>
          <w:tcPr>
            <w:tcW w:w="89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9ABE255"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FD45A6">
              <w:rPr>
                <w:rFonts w:ascii="Times New Roman" w:eastAsia="Times New Roman" w:hAnsi="Times New Roman" w:cs="Times New Roman"/>
                <w:color w:val="9C0006"/>
                <w:sz w:val="16"/>
                <w:szCs w:val="16"/>
                <w:lang w:val="en-US"/>
              </w:rPr>
              <w:t>100</w:t>
            </w:r>
          </w:p>
        </w:tc>
        <w:tc>
          <w:tcPr>
            <w:tcW w:w="9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21684F6"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FD45A6">
              <w:rPr>
                <w:rFonts w:ascii="Times New Roman" w:eastAsia="Times New Roman" w:hAnsi="Times New Roman" w:cs="Times New Roman"/>
                <w:color w:val="9C0006"/>
                <w:sz w:val="16"/>
                <w:szCs w:val="16"/>
                <w:lang w:val="en-US"/>
              </w:rPr>
              <w:t>41.92</w:t>
            </w:r>
          </w:p>
        </w:tc>
      </w:tr>
      <w:tr w:rsidR="0015721A" w:rsidRPr="00FD45A6" w14:paraId="403A46E9" w14:textId="77777777" w:rsidTr="00FD45A6">
        <w:trPr>
          <w:trHeight w:val="450"/>
        </w:trPr>
        <w:tc>
          <w:tcPr>
            <w:tcW w:w="893" w:type="dxa"/>
            <w:tcBorders>
              <w:top w:val="nil"/>
              <w:left w:val="single" w:sz="4" w:space="0" w:color="auto"/>
              <w:bottom w:val="single" w:sz="4" w:space="0" w:color="auto"/>
              <w:right w:val="single" w:sz="4" w:space="0" w:color="auto"/>
            </w:tcBorders>
            <w:shd w:val="clear" w:color="auto" w:fill="auto"/>
            <w:vAlign w:val="center"/>
            <w:hideMark/>
          </w:tcPr>
          <w:p w14:paraId="7C3F78C6"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100%</w:t>
            </w:r>
          </w:p>
        </w:tc>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2A094D6D"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SBFD</w:t>
            </w:r>
          </w:p>
        </w:tc>
        <w:tc>
          <w:tcPr>
            <w:tcW w:w="908" w:type="dxa"/>
            <w:vMerge/>
            <w:tcBorders>
              <w:top w:val="nil"/>
              <w:left w:val="single" w:sz="4" w:space="0" w:color="auto"/>
              <w:bottom w:val="single" w:sz="4" w:space="0" w:color="000000"/>
              <w:right w:val="single" w:sz="4" w:space="0" w:color="auto"/>
            </w:tcBorders>
            <w:vAlign w:val="center"/>
            <w:hideMark/>
          </w:tcPr>
          <w:p w14:paraId="41EC0E10"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17E44FE3"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Option 2 (same gain)</w:t>
            </w:r>
          </w:p>
        </w:tc>
        <w:tc>
          <w:tcPr>
            <w:tcW w:w="908" w:type="dxa"/>
            <w:vMerge/>
            <w:tcBorders>
              <w:top w:val="nil"/>
              <w:left w:val="single" w:sz="4" w:space="0" w:color="auto"/>
              <w:bottom w:val="single" w:sz="4" w:space="0" w:color="auto"/>
              <w:right w:val="single" w:sz="4" w:space="0" w:color="auto"/>
            </w:tcBorders>
            <w:vAlign w:val="center"/>
            <w:hideMark/>
          </w:tcPr>
          <w:p w14:paraId="2CD9634D"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7" w:type="dxa"/>
            <w:vMerge/>
            <w:tcBorders>
              <w:top w:val="nil"/>
              <w:left w:val="single" w:sz="4" w:space="0" w:color="auto"/>
              <w:bottom w:val="single" w:sz="4" w:space="0" w:color="auto"/>
              <w:right w:val="single" w:sz="4" w:space="0" w:color="auto"/>
            </w:tcBorders>
            <w:vAlign w:val="center"/>
            <w:hideMark/>
          </w:tcPr>
          <w:p w14:paraId="2AC33E6A"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14:paraId="1F3E4040"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Option 2:</w:t>
            </w:r>
            <w:r w:rsidRPr="00FD45A6">
              <w:rPr>
                <w:rFonts w:ascii="Times New Roman" w:eastAsia="Times New Roman" w:hAnsi="Times New Roman" w:cs="Times New Roman"/>
                <w:sz w:val="16"/>
                <w:szCs w:val="16"/>
                <w:lang w:val="en-US"/>
              </w:rPr>
              <w:br/>
              <w:t>SBFD: 53 dBm</w:t>
            </w:r>
          </w:p>
        </w:tc>
        <w:tc>
          <w:tcPr>
            <w:tcW w:w="1145" w:type="dxa"/>
            <w:tcBorders>
              <w:top w:val="nil"/>
              <w:left w:val="nil"/>
              <w:bottom w:val="single" w:sz="4" w:space="0" w:color="auto"/>
              <w:right w:val="single" w:sz="4" w:space="0" w:color="auto"/>
            </w:tcBorders>
            <w:shd w:val="clear" w:color="auto" w:fill="auto"/>
            <w:noWrap/>
            <w:vAlign w:val="center"/>
            <w:hideMark/>
          </w:tcPr>
          <w:p w14:paraId="3233A5A0"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24.79</w:t>
            </w:r>
          </w:p>
        </w:tc>
        <w:tc>
          <w:tcPr>
            <w:tcW w:w="879" w:type="dxa"/>
            <w:tcBorders>
              <w:top w:val="nil"/>
              <w:left w:val="nil"/>
              <w:bottom w:val="single" w:sz="4" w:space="0" w:color="auto"/>
              <w:right w:val="single" w:sz="4" w:space="0" w:color="auto"/>
            </w:tcBorders>
            <w:shd w:val="clear" w:color="auto" w:fill="auto"/>
            <w:noWrap/>
            <w:vAlign w:val="center"/>
            <w:hideMark/>
          </w:tcPr>
          <w:p w14:paraId="0265C4D1"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3.56</w:t>
            </w:r>
          </w:p>
        </w:tc>
        <w:tc>
          <w:tcPr>
            <w:tcW w:w="89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53C49AA"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FD45A6">
              <w:rPr>
                <w:rFonts w:ascii="Times New Roman" w:eastAsia="Times New Roman" w:hAnsi="Times New Roman" w:cs="Times New Roman"/>
                <w:color w:val="9C0006"/>
                <w:sz w:val="16"/>
                <w:szCs w:val="16"/>
                <w:lang w:val="en-US"/>
              </w:rPr>
              <w:t>100</w:t>
            </w:r>
          </w:p>
        </w:tc>
        <w:tc>
          <w:tcPr>
            <w:tcW w:w="9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4E2BA07"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FD45A6">
              <w:rPr>
                <w:rFonts w:ascii="Times New Roman" w:eastAsia="Times New Roman" w:hAnsi="Times New Roman" w:cs="Times New Roman"/>
                <w:color w:val="9C0006"/>
                <w:sz w:val="16"/>
                <w:szCs w:val="16"/>
                <w:lang w:val="en-US"/>
              </w:rPr>
              <w:t>26.11</w:t>
            </w:r>
          </w:p>
        </w:tc>
      </w:tr>
      <w:tr w:rsidR="0015721A" w:rsidRPr="00FD45A6" w14:paraId="71BBCC73" w14:textId="77777777" w:rsidTr="00FD45A6">
        <w:trPr>
          <w:trHeight w:val="450"/>
        </w:trPr>
        <w:tc>
          <w:tcPr>
            <w:tcW w:w="893" w:type="dxa"/>
            <w:tcBorders>
              <w:top w:val="nil"/>
              <w:left w:val="single" w:sz="4" w:space="0" w:color="auto"/>
              <w:bottom w:val="single" w:sz="4" w:space="0" w:color="auto"/>
              <w:right w:val="single" w:sz="4" w:space="0" w:color="auto"/>
            </w:tcBorders>
            <w:shd w:val="clear" w:color="auto" w:fill="auto"/>
            <w:vAlign w:val="center"/>
            <w:hideMark/>
          </w:tcPr>
          <w:p w14:paraId="16BF284C"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10%</w:t>
            </w:r>
          </w:p>
        </w:tc>
        <w:tc>
          <w:tcPr>
            <w:tcW w:w="951" w:type="dxa"/>
            <w:vMerge/>
            <w:tcBorders>
              <w:top w:val="nil"/>
              <w:left w:val="single" w:sz="4" w:space="0" w:color="auto"/>
              <w:bottom w:val="single" w:sz="4" w:space="0" w:color="auto"/>
              <w:right w:val="single" w:sz="4" w:space="0" w:color="auto"/>
            </w:tcBorders>
            <w:vAlign w:val="center"/>
            <w:hideMark/>
          </w:tcPr>
          <w:p w14:paraId="3E79A24F"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8" w:type="dxa"/>
            <w:vMerge/>
            <w:tcBorders>
              <w:top w:val="nil"/>
              <w:left w:val="single" w:sz="4" w:space="0" w:color="auto"/>
              <w:bottom w:val="single" w:sz="4" w:space="0" w:color="000000"/>
              <w:right w:val="single" w:sz="4" w:space="0" w:color="auto"/>
            </w:tcBorders>
            <w:vAlign w:val="center"/>
            <w:hideMark/>
          </w:tcPr>
          <w:p w14:paraId="5B547B1A"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53037C72" w14:textId="77777777" w:rsidR="00FD45A6" w:rsidRPr="00FD45A6" w:rsidRDefault="00FD45A6" w:rsidP="00FD45A6">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FD45A6">
              <w:rPr>
                <w:rFonts w:ascii="Times New Roman" w:eastAsia="Times New Roman" w:hAnsi="Times New Roman" w:cs="Times New Roman"/>
                <w:sz w:val="16"/>
                <w:szCs w:val="16"/>
                <w:lang w:val="en-US"/>
              </w:rPr>
              <w:t>Option 2 (same gain)</w:t>
            </w:r>
          </w:p>
        </w:tc>
        <w:tc>
          <w:tcPr>
            <w:tcW w:w="908" w:type="dxa"/>
            <w:vMerge/>
            <w:tcBorders>
              <w:top w:val="nil"/>
              <w:left w:val="single" w:sz="4" w:space="0" w:color="auto"/>
              <w:bottom w:val="single" w:sz="4" w:space="0" w:color="auto"/>
              <w:right w:val="single" w:sz="4" w:space="0" w:color="auto"/>
            </w:tcBorders>
            <w:vAlign w:val="center"/>
            <w:hideMark/>
          </w:tcPr>
          <w:p w14:paraId="47C9FFC0"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7" w:type="dxa"/>
            <w:vMerge/>
            <w:tcBorders>
              <w:top w:val="nil"/>
              <w:left w:val="single" w:sz="4" w:space="0" w:color="auto"/>
              <w:bottom w:val="single" w:sz="4" w:space="0" w:color="auto"/>
              <w:right w:val="single" w:sz="4" w:space="0" w:color="auto"/>
            </w:tcBorders>
            <w:vAlign w:val="center"/>
            <w:hideMark/>
          </w:tcPr>
          <w:p w14:paraId="2B653687"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1" w:type="dxa"/>
            <w:vMerge/>
            <w:tcBorders>
              <w:top w:val="nil"/>
              <w:left w:val="single" w:sz="4" w:space="0" w:color="auto"/>
              <w:bottom w:val="single" w:sz="4" w:space="0" w:color="auto"/>
              <w:right w:val="single" w:sz="4" w:space="0" w:color="auto"/>
            </w:tcBorders>
            <w:vAlign w:val="center"/>
            <w:hideMark/>
          </w:tcPr>
          <w:p w14:paraId="64E9A159" w14:textId="77777777" w:rsidR="00FD45A6" w:rsidRPr="00FD45A6" w:rsidRDefault="00FD45A6" w:rsidP="00FD45A6">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45" w:type="dxa"/>
            <w:tcBorders>
              <w:top w:val="nil"/>
              <w:left w:val="nil"/>
              <w:bottom w:val="single" w:sz="4" w:space="0" w:color="auto"/>
              <w:right w:val="single" w:sz="4" w:space="0" w:color="auto"/>
            </w:tcBorders>
            <w:shd w:val="clear" w:color="auto" w:fill="auto"/>
            <w:noWrap/>
            <w:vAlign w:val="center"/>
            <w:hideMark/>
          </w:tcPr>
          <w:p w14:paraId="71DFB808"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Receiver blocked</w:t>
            </w:r>
          </w:p>
        </w:tc>
        <w:tc>
          <w:tcPr>
            <w:tcW w:w="879" w:type="dxa"/>
            <w:tcBorders>
              <w:top w:val="nil"/>
              <w:left w:val="nil"/>
              <w:bottom w:val="single" w:sz="4" w:space="0" w:color="auto"/>
              <w:right w:val="single" w:sz="4" w:space="0" w:color="auto"/>
            </w:tcBorders>
            <w:shd w:val="clear" w:color="auto" w:fill="auto"/>
            <w:noWrap/>
            <w:vAlign w:val="center"/>
            <w:hideMark/>
          </w:tcPr>
          <w:p w14:paraId="2EA40FE8"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FD45A6">
              <w:rPr>
                <w:rFonts w:ascii="Times New Roman" w:eastAsia="Times New Roman" w:hAnsi="Times New Roman" w:cs="Times New Roman"/>
                <w:color w:val="000000"/>
                <w:sz w:val="16"/>
                <w:szCs w:val="16"/>
                <w:lang w:val="en-US"/>
              </w:rPr>
              <w:t>8.99</w:t>
            </w:r>
          </w:p>
        </w:tc>
        <w:tc>
          <w:tcPr>
            <w:tcW w:w="89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702FAA4"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FD45A6">
              <w:rPr>
                <w:rFonts w:ascii="Times New Roman" w:eastAsia="Times New Roman" w:hAnsi="Times New Roman" w:cs="Times New Roman"/>
                <w:color w:val="9C0006"/>
                <w:sz w:val="16"/>
                <w:szCs w:val="16"/>
                <w:lang w:val="en-US"/>
              </w:rPr>
              <w:t>100</w:t>
            </w:r>
          </w:p>
        </w:tc>
        <w:tc>
          <w:tcPr>
            <w:tcW w:w="9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8564ABA" w14:textId="77777777" w:rsidR="00FD45A6" w:rsidRPr="00FD45A6" w:rsidRDefault="00FD45A6" w:rsidP="00FD45A6">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FD45A6">
              <w:rPr>
                <w:rFonts w:ascii="Times New Roman" w:eastAsia="Times New Roman" w:hAnsi="Times New Roman" w:cs="Times New Roman"/>
                <w:color w:val="9C0006"/>
                <w:sz w:val="16"/>
                <w:szCs w:val="16"/>
                <w:lang w:val="en-US"/>
              </w:rPr>
              <w:t>47.14</w:t>
            </w:r>
          </w:p>
        </w:tc>
      </w:tr>
    </w:tbl>
    <w:p w14:paraId="7DD8D42A" w14:textId="77777777" w:rsidR="000F20F2" w:rsidRDefault="000F20F2" w:rsidP="005267E4"/>
    <w:p w14:paraId="606E701F" w14:textId="77777777" w:rsidR="007E7FFA" w:rsidRDefault="007E7FFA" w:rsidP="007E7FFA">
      <w:r>
        <w:t>Based on the results presented, we conclude the following on the coexistence for this scenario and case:</w:t>
      </w:r>
    </w:p>
    <w:p w14:paraId="1CDC1333" w14:textId="38D1D6CA" w:rsidR="00494231" w:rsidRDefault="00494231" w:rsidP="00494231">
      <w:pPr>
        <w:rPr>
          <w:b/>
          <w:bCs/>
        </w:rPr>
      </w:pPr>
      <w:r w:rsidRPr="009D3E26">
        <w:rPr>
          <w:b/>
          <w:bCs/>
        </w:rPr>
        <w:t xml:space="preserve">Proposal </w:t>
      </w:r>
      <w:r w:rsidR="00161BA4">
        <w:rPr>
          <w:b/>
          <w:bCs/>
        </w:rPr>
        <w:t>7</w:t>
      </w:r>
      <w:r w:rsidRPr="009D3E26">
        <w:rPr>
          <w:b/>
          <w:bCs/>
        </w:rPr>
        <w:t xml:space="preserve">: </w:t>
      </w:r>
      <w:r w:rsidRPr="00D255A4">
        <w:rPr>
          <w:b/>
          <w:bCs/>
        </w:rPr>
        <w:t xml:space="preserve">The performance degradation for </w:t>
      </w:r>
      <w:r>
        <w:rPr>
          <w:b/>
          <w:bCs/>
        </w:rPr>
        <w:t xml:space="preserve">Urban </w:t>
      </w:r>
      <w:r w:rsidR="004869B3">
        <w:rPr>
          <w:b/>
          <w:bCs/>
        </w:rPr>
        <w:t>Macro</w:t>
      </w:r>
      <w:r>
        <w:rPr>
          <w:b/>
          <w:bCs/>
        </w:rPr>
        <w:t xml:space="preserve"> </w:t>
      </w:r>
      <w:r w:rsidRPr="00D255A4">
        <w:rPr>
          <w:b/>
          <w:bCs/>
        </w:rPr>
        <w:t>Case 2 is not acceptable when SBFD is adopted</w:t>
      </w:r>
      <w:r>
        <w:rPr>
          <w:b/>
          <w:bCs/>
        </w:rPr>
        <w:t xml:space="preserve"> at the aggressor network. T</w:t>
      </w:r>
      <w:r w:rsidRPr="00D255A4">
        <w:rPr>
          <w:b/>
          <w:bCs/>
        </w:rPr>
        <w:t>herefore, the operation on SBFD during TDD UL symbols/slots in the victim network is not recommended.</w:t>
      </w:r>
    </w:p>
    <w:p w14:paraId="235B3F19" w14:textId="4A71A072" w:rsidR="00E63CA6" w:rsidRDefault="00E63CA6" w:rsidP="00E63CA6">
      <w:pPr>
        <w:pStyle w:val="Heading4"/>
        <w:ind w:left="0" w:firstLine="0"/>
        <w:rPr>
          <w:lang w:val="en-US"/>
        </w:rPr>
      </w:pPr>
      <w:r w:rsidRPr="00FC6DDC">
        <w:rPr>
          <w:lang w:val="en-US"/>
        </w:rPr>
        <w:t xml:space="preserve">3.2.2 Scenario 2: FR1 Urban Hotspot </w:t>
      </w:r>
    </w:p>
    <w:p w14:paraId="36EB0BCA" w14:textId="6291B546" w:rsidR="00C83B64" w:rsidRDefault="00C83B64" w:rsidP="000B0749">
      <w:pPr>
        <w:rPr>
          <w:lang w:val="en-US"/>
        </w:rPr>
      </w:pPr>
      <w:r>
        <w:rPr>
          <w:highlight w:val="yellow"/>
          <w:lang w:val="en-US"/>
        </w:rPr>
        <w:fldChar w:fldCharType="begin"/>
      </w:r>
      <w:r>
        <w:rPr>
          <w:highlight w:val="yellow"/>
          <w:lang w:val="en-US"/>
        </w:rPr>
        <w:instrText xml:space="preserve"> REF _Ref146623788 \h </w:instrText>
      </w:r>
      <w:r>
        <w:rPr>
          <w:highlight w:val="yellow"/>
          <w:lang w:val="en-US"/>
        </w:rPr>
      </w:r>
      <w:r>
        <w:rPr>
          <w:highlight w:val="yellow"/>
          <w:lang w:val="en-US"/>
        </w:rPr>
        <w:fldChar w:fldCharType="separate"/>
      </w:r>
      <w:r w:rsidR="004D336C">
        <w:t xml:space="preserve">Figure </w:t>
      </w:r>
      <w:r w:rsidR="004D336C">
        <w:rPr>
          <w:noProof/>
        </w:rPr>
        <w:t>7</w:t>
      </w:r>
      <w:r>
        <w:rPr>
          <w:highlight w:val="yellow"/>
          <w:lang w:val="en-US"/>
        </w:rPr>
        <w:fldChar w:fldCharType="end"/>
      </w:r>
      <w:r w:rsidR="000B0749">
        <w:rPr>
          <w:highlight w:val="yellow"/>
          <w:lang w:val="en-US"/>
        </w:rPr>
        <w:fldChar w:fldCharType="begin"/>
      </w:r>
      <w:r w:rsidR="000B0749">
        <w:rPr>
          <w:lang w:val="en-US"/>
        </w:rPr>
        <w:instrText xml:space="preserve"> REF _Ref142662254 \h </w:instrText>
      </w:r>
      <w:r w:rsidR="000B0749">
        <w:rPr>
          <w:highlight w:val="yellow"/>
          <w:lang w:val="en-US"/>
        </w:rPr>
      </w:r>
      <w:r w:rsidR="000B0749">
        <w:rPr>
          <w:highlight w:val="yellow"/>
          <w:lang w:val="en-US"/>
        </w:rPr>
        <w:fldChar w:fldCharType="end"/>
      </w:r>
      <w:r w:rsidR="000B0749">
        <w:rPr>
          <w:lang w:val="en-US"/>
        </w:rPr>
        <w:t xml:space="preserve"> </w:t>
      </w:r>
      <w:r w:rsidR="000B0749" w:rsidRPr="005B4A37">
        <w:rPr>
          <w:lang w:val="en-US"/>
        </w:rPr>
        <w:t xml:space="preserve">shows the </w:t>
      </w:r>
      <w:r w:rsidR="000B0749">
        <w:rPr>
          <w:lang w:val="en-US"/>
        </w:rPr>
        <w:t>victim U</w:t>
      </w:r>
      <w:r w:rsidR="000B0749" w:rsidRPr="005B4A37">
        <w:rPr>
          <w:lang w:val="en-US"/>
        </w:rPr>
        <w:t>L SINR at 5</w:t>
      </w:r>
      <w:r w:rsidR="000B0749" w:rsidRPr="00EF7212">
        <w:rPr>
          <w:vertAlign w:val="superscript"/>
          <w:lang w:val="en-US"/>
        </w:rPr>
        <w:t>th</w:t>
      </w:r>
      <w:r w:rsidR="000B0749" w:rsidRPr="005B4A37">
        <w:rPr>
          <w:lang w:val="en-US"/>
        </w:rPr>
        <w:t xml:space="preserve"> and 50</w:t>
      </w:r>
      <w:r w:rsidR="000B0749" w:rsidRPr="00EF7212">
        <w:rPr>
          <w:vertAlign w:val="superscript"/>
          <w:lang w:val="en-US"/>
        </w:rPr>
        <w:t>th</w:t>
      </w:r>
      <w:r w:rsidR="000B0749" w:rsidRPr="005B4A37">
        <w:rPr>
          <w:lang w:val="en-US"/>
        </w:rPr>
        <w:t xml:space="preserve"> percentiles </w:t>
      </w:r>
      <w:r w:rsidR="000B0749">
        <w:rPr>
          <w:lang w:val="en-US"/>
        </w:rPr>
        <w:t>and the victim UL throughput at 5</w:t>
      </w:r>
      <w:r w:rsidR="000B0749" w:rsidRPr="009703BE">
        <w:rPr>
          <w:vertAlign w:val="superscript"/>
          <w:lang w:val="en-US"/>
        </w:rPr>
        <w:t>th</w:t>
      </w:r>
      <w:r w:rsidR="000B0749">
        <w:rPr>
          <w:lang w:val="en-US"/>
        </w:rPr>
        <w:t xml:space="preserve"> percentile and average. The figure includes</w:t>
      </w:r>
      <w:r w:rsidR="000B0749" w:rsidRPr="005B4A37">
        <w:rPr>
          <w:lang w:val="en-US"/>
        </w:rPr>
        <w:t xml:space="preserve"> cases </w:t>
      </w:r>
      <w:r w:rsidR="000B0749">
        <w:rPr>
          <w:lang w:val="en-US"/>
        </w:rPr>
        <w:t>with</w:t>
      </w:r>
      <w:r w:rsidR="000B0749" w:rsidRPr="005B4A37">
        <w:rPr>
          <w:lang w:val="en-US"/>
        </w:rPr>
        <w:t xml:space="preserve"> no </w:t>
      </w:r>
      <w:r w:rsidR="000B0749">
        <w:rPr>
          <w:lang w:val="en-US"/>
        </w:rPr>
        <w:t>adjacent channel interference (ACI)</w:t>
      </w:r>
      <w:r w:rsidR="000B0749" w:rsidRPr="005B4A37">
        <w:rPr>
          <w:lang w:val="en-US"/>
        </w:rPr>
        <w:t xml:space="preserve">, and when ACI is generated by TDD </w:t>
      </w:r>
      <w:r w:rsidR="00344CFE">
        <w:rPr>
          <w:lang w:val="en-US"/>
        </w:rPr>
        <w:t>U</w:t>
      </w:r>
      <w:r w:rsidR="000B0749" w:rsidRPr="005B4A37">
        <w:rPr>
          <w:lang w:val="en-US"/>
        </w:rPr>
        <w:t>L or SBFD</w:t>
      </w:r>
      <w:r w:rsidR="000B0749">
        <w:rPr>
          <w:lang w:val="en-US"/>
        </w:rPr>
        <w:t xml:space="preserve">. </w:t>
      </w:r>
      <w:r w:rsidR="0044293B">
        <w:rPr>
          <w:lang w:val="en-US"/>
        </w:rPr>
        <w:t>At the 5</w:t>
      </w:r>
      <w:r w:rsidR="0044293B" w:rsidRPr="00B334F7">
        <w:rPr>
          <w:vertAlign w:val="superscript"/>
          <w:lang w:val="en-US"/>
        </w:rPr>
        <w:t>th</w:t>
      </w:r>
      <w:r w:rsidR="0044293B">
        <w:rPr>
          <w:lang w:val="en-US"/>
        </w:rPr>
        <w:t xml:space="preserve"> percentile, and due to the high ratio of indoor UEs, the UL SINR is lower than the minimum threshold for any of the considered cases and therefore the UL throughput is 0 as well. It is worth noting that for the case with SBFD aggressor and 10% grid offset, the victim BS receiver is completely blocked at 5</w:t>
      </w:r>
      <w:r w:rsidR="0044293B" w:rsidRPr="00B334F7">
        <w:rPr>
          <w:vertAlign w:val="superscript"/>
          <w:lang w:val="en-US"/>
        </w:rPr>
        <w:t>th</w:t>
      </w:r>
      <w:r w:rsidR="0044293B">
        <w:rPr>
          <w:lang w:val="en-US"/>
        </w:rPr>
        <w:t xml:space="preserve"> percentile.</w:t>
      </w:r>
      <w:r w:rsidR="00540ABF">
        <w:rPr>
          <w:lang w:val="en-US"/>
        </w:rPr>
        <w:t xml:space="preserve"> The bar corresponding to such case is not included </w:t>
      </w:r>
      <w:r w:rsidR="00A62F11">
        <w:rPr>
          <w:lang w:val="en-US"/>
        </w:rPr>
        <w:t>for better illustration purpose</w:t>
      </w:r>
      <w:r w:rsidR="00556C81">
        <w:rPr>
          <w:lang w:val="en-US"/>
        </w:rPr>
        <w:t xml:space="preserve">s since the bar goes out of the </w:t>
      </w:r>
      <w:r w:rsidR="00F3550A">
        <w:rPr>
          <w:lang w:val="en-US"/>
        </w:rPr>
        <w:t xml:space="preserve">plot </w:t>
      </w:r>
      <w:r w:rsidR="00556C81">
        <w:rPr>
          <w:lang w:val="en-US"/>
        </w:rPr>
        <w:t>scale</w:t>
      </w:r>
      <w:r w:rsidR="00543603">
        <w:rPr>
          <w:lang w:val="en-US"/>
        </w:rPr>
        <w:t>.</w:t>
      </w:r>
    </w:p>
    <w:p w14:paraId="5BB3D1DC" w14:textId="0CC2EF40" w:rsidR="002332B4" w:rsidRDefault="00FD679E" w:rsidP="00B334F7">
      <w:pPr>
        <w:keepNext/>
        <w:jc w:val="center"/>
      </w:pPr>
      <w:r w:rsidRPr="00FD679E">
        <w:rPr>
          <w:noProof/>
        </w:rPr>
        <w:lastRenderedPageBreak/>
        <w:drawing>
          <wp:inline distT="0" distB="0" distL="0" distR="0" wp14:anchorId="4F3FA109" wp14:editId="36A35250">
            <wp:extent cx="5224007" cy="341111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rotWithShape="1">
                    <a:blip r:embed="rId19">
                      <a:extLst>
                        <a:ext uri="{28A0092B-C50C-407E-A947-70E740481C1C}">
                          <a14:useLocalDpi xmlns:a14="http://schemas.microsoft.com/office/drawing/2010/main" val="0"/>
                        </a:ext>
                      </a:extLst>
                    </a:blip>
                    <a:srcRect l="7020" t="2966" r="7549" b="6129"/>
                    <a:stretch/>
                  </pic:blipFill>
                  <pic:spPr bwMode="auto">
                    <a:xfrm>
                      <a:off x="0" y="0"/>
                      <a:ext cx="5224641" cy="3411524"/>
                    </a:xfrm>
                    <a:prstGeom prst="rect">
                      <a:avLst/>
                    </a:prstGeom>
                    <a:noFill/>
                    <a:ln>
                      <a:noFill/>
                    </a:ln>
                    <a:extLst>
                      <a:ext uri="{53640926-AAD7-44D8-BBD7-CCE9431645EC}">
                        <a14:shadowObscured xmlns:a14="http://schemas.microsoft.com/office/drawing/2010/main"/>
                      </a:ext>
                    </a:extLst>
                  </pic:spPr>
                </pic:pic>
              </a:graphicData>
            </a:graphic>
          </wp:inline>
        </w:drawing>
      </w:r>
    </w:p>
    <w:p w14:paraId="376A8A76" w14:textId="095335BF" w:rsidR="002332B4" w:rsidRDefault="002332B4" w:rsidP="002332B4">
      <w:pPr>
        <w:pStyle w:val="Caption"/>
        <w:jc w:val="center"/>
        <w:rPr>
          <w:lang w:val="en-US"/>
        </w:rPr>
      </w:pPr>
      <w:bookmarkStart w:id="23" w:name="_Ref146623788"/>
      <w:r>
        <w:t xml:space="preserve">Figure </w:t>
      </w:r>
      <w:r>
        <w:fldChar w:fldCharType="begin"/>
      </w:r>
      <w:r>
        <w:instrText xml:space="preserve"> SEQ Figure \* ARABIC </w:instrText>
      </w:r>
      <w:r>
        <w:fldChar w:fldCharType="separate"/>
      </w:r>
      <w:r w:rsidR="004D336C">
        <w:rPr>
          <w:noProof/>
        </w:rPr>
        <w:t>7</w:t>
      </w:r>
      <w:r>
        <w:fldChar w:fldCharType="end"/>
      </w:r>
      <w:bookmarkEnd w:id="23"/>
      <w:r>
        <w:t xml:space="preserve">. </w:t>
      </w:r>
      <w:r w:rsidRPr="00AD7ADF">
        <w:t xml:space="preserve">Comparison of </w:t>
      </w:r>
      <w:r>
        <w:t>U</w:t>
      </w:r>
      <w:r w:rsidRPr="00AD7ADF">
        <w:t xml:space="preserve">L SINR and </w:t>
      </w:r>
      <w:r>
        <w:t>U</w:t>
      </w:r>
      <w:r w:rsidRPr="00AD7ADF">
        <w:t xml:space="preserve">L throughput for Case </w:t>
      </w:r>
      <w:r>
        <w:t>2</w:t>
      </w:r>
      <w:r w:rsidRPr="00AD7ADF">
        <w:t xml:space="preserve"> Urban </w:t>
      </w:r>
      <w:r>
        <w:t>Hotspot</w:t>
      </w:r>
      <w:r w:rsidRPr="00AD7ADF">
        <w:t xml:space="preserve"> scenario</w:t>
      </w:r>
      <w:r w:rsidRPr="009D3E26" w:rsidDel="00AD7ADF">
        <w:t xml:space="preserve"> </w:t>
      </w:r>
    </w:p>
    <w:p w14:paraId="42A606B6" w14:textId="0D4E901C" w:rsidR="00AF0B01" w:rsidRDefault="00AF0B01" w:rsidP="00B334F7">
      <w:pPr>
        <w:pStyle w:val="Caption"/>
        <w:rPr>
          <w:lang w:val="en-US"/>
        </w:rPr>
      </w:pPr>
    </w:p>
    <w:p w14:paraId="0D9490B2" w14:textId="246EEC55" w:rsidR="00A06EC4" w:rsidRDefault="006A35B5" w:rsidP="000B0749">
      <w:pPr>
        <w:rPr>
          <w:lang w:val="en-US"/>
        </w:rPr>
      </w:pPr>
      <w:r w:rsidRPr="007E7FFA">
        <w:rPr>
          <w:lang w:val="en-US"/>
        </w:rPr>
        <w:t xml:space="preserve">In </w:t>
      </w:r>
      <w:r w:rsidR="00A655DD">
        <w:rPr>
          <w:lang w:val="en-US"/>
        </w:rPr>
        <w:fldChar w:fldCharType="begin"/>
      </w:r>
      <w:r w:rsidR="00A655DD">
        <w:rPr>
          <w:lang w:val="en-US"/>
        </w:rPr>
        <w:instrText xml:space="preserve"> REF _Ref146668197 \h </w:instrText>
      </w:r>
      <w:r w:rsidR="00A655DD">
        <w:rPr>
          <w:lang w:val="en-US"/>
        </w:rPr>
      </w:r>
      <w:r w:rsidR="00A655DD">
        <w:rPr>
          <w:lang w:val="en-US"/>
        </w:rPr>
        <w:fldChar w:fldCharType="separate"/>
      </w:r>
      <w:r w:rsidR="004D336C">
        <w:t xml:space="preserve">Table </w:t>
      </w:r>
      <w:r w:rsidR="004D336C">
        <w:rPr>
          <w:noProof/>
        </w:rPr>
        <w:t>7</w:t>
      </w:r>
      <w:r w:rsidR="00A655DD">
        <w:rPr>
          <w:lang w:val="en-US"/>
        </w:rPr>
        <w:fldChar w:fldCharType="end"/>
      </w:r>
      <w:r w:rsidR="00A655DD">
        <w:rPr>
          <w:lang w:val="en-US"/>
        </w:rPr>
        <w:t xml:space="preserve"> </w:t>
      </w:r>
      <w:r w:rsidRPr="007E7FFA">
        <w:rPr>
          <w:lang w:val="en-US"/>
        </w:rPr>
        <w:t xml:space="preserve">we provide a performance summary for different aggressor BS antenna configurations and grid shifts. The main conclusion from </w:t>
      </w:r>
      <w:r w:rsidRPr="007E7FFA">
        <w:rPr>
          <w:lang w:val="en-US"/>
        </w:rPr>
        <w:fldChar w:fldCharType="begin"/>
      </w:r>
      <w:r w:rsidRPr="007E7FFA">
        <w:rPr>
          <w:lang w:val="en-US"/>
        </w:rPr>
        <w:instrText xml:space="preserve"> REF _Ref146536979 \h </w:instrText>
      </w:r>
      <w:r w:rsidRPr="007E7FFA">
        <w:rPr>
          <w:lang w:val="en-US"/>
        </w:rPr>
      </w:r>
      <w:r w:rsidRPr="007E7FFA">
        <w:rPr>
          <w:lang w:val="en-US"/>
        </w:rPr>
        <w:fldChar w:fldCharType="end"/>
      </w:r>
      <w:r w:rsidRPr="007E7FFA">
        <w:rPr>
          <w:lang w:val="en-US"/>
        </w:rPr>
        <w:t xml:space="preserve"> is that SBFD heavily degrades the TDD UL performance of the victim for any of the considered configurations. In many of the cases such degradation brings the victim UL throughput to 0 and therefore SBFD operation during TDD UL slots and symbols is not recommended.</w:t>
      </w:r>
    </w:p>
    <w:p w14:paraId="5B34C137" w14:textId="72DAD674" w:rsidR="00B71C75" w:rsidRDefault="00B71C75" w:rsidP="00B334F7">
      <w:pPr>
        <w:pStyle w:val="Caption"/>
        <w:keepNext/>
      </w:pPr>
      <w:bookmarkStart w:id="24" w:name="_Ref146668197"/>
      <w:r>
        <w:t xml:space="preserve">Table </w:t>
      </w:r>
      <w:r>
        <w:fldChar w:fldCharType="begin"/>
      </w:r>
      <w:r>
        <w:instrText xml:space="preserve"> SEQ Table \* ARABIC </w:instrText>
      </w:r>
      <w:r>
        <w:fldChar w:fldCharType="separate"/>
      </w:r>
      <w:r w:rsidR="004D336C">
        <w:rPr>
          <w:noProof/>
        </w:rPr>
        <w:t>7</w:t>
      </w:r>
      <w:r>
        <w:fldChar w:fldCharType="end"/>
      </w:r>
      <w:bookmarkEnd w:id="24"/>
      <w:r>
        <w:t>. Performance summary for Case 2 Urban Hotspot scenario</w:t>
      </w:r>
    </w:p>
    <w:tbl>
      <w:tblPr>
        <w:tblW w:w="10236" w:type="dxa"/>
        <w:tblLook w:val="04A0" w:firstRow="1" w:lastRow="0" w:firstColumn="1" w:lastColumn="0" w:noHBand="0" w:noVBand="1"/>
      </w:tblPr>
      <w:tblGrid>
        <w:gridCol w:w="818"/>
        <w:gridCol w:w="918"/>
        <w:gridCol w:w="846"/>
        <w:gridCol w:w="1153"/>
        <w:gridCol w:w="846"/>
        <w:gridCol w:w="878"/>
        <w:gridCol w:w="918"/>
        <w:gridCol w:w="1385"/>
        <w:gridCol w:w="814"/>
        <w:gridCol w:w="824"/>
        <w:gridCol w:w="836"/>
      </w:tblGrid>
      <w:tr w:rsidR="00482B17" w:rsidRPr="00482B17" w14:paraId="6A1CFDF0" w14:textId="77777777" w:rsidTr="00B334F7">
        <w:trPr>
          <w:trHeight w:val="499"/>
        </w:trPr>
        <w:tc>
          <w:tcPr>
            <w:tcW w:w="1023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083D1B"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2: FR1 Urban Hotspot</w:t>
            </w:r>
            <w:r w:rsidRPr="00B334F7">
              <w:rPr>
                <w:rFonts w:ascii="Times New Roman" w:eastAsia="Times New Roman" w:hAnsi="Times New Roman" w:cs="Times New Roman"/>
                <w:b/>
                <w:bCs/>
                <w:sz w:val="16"/>
                <w:szCs w:val="16"/>
                <w:lang w:val="en-US"/>
              </w:rPr>
              <w:br/>
              <w:t>Case 2: TDD UL as victim</w:t>
            </w:r>
          </w:p>
        </w:tc>
      </w:tr>
      <w:tr w:rsidR="00482B17" w:rsidRPr="00482B17" w14:paraId="446AB066" w14:textId="77777777" w:rsidTr="00482B17">
        <w:trPr>
          <w:trHeight w:val="475"/>
        </w:trPr>
        <w:tc>
          <w:tcPr>
            <w:tcW w:w="818" w:type="dxa"/>
            <w:vMerge w:val="restart"/>
            <w:tcBorders>
              <w:top w:val="nil"/>
              <w:left w:val="single" w:sz="4" w:space="0" w:color="auto"/>
              <w:bottom w:val="single" w:sz="4" w:space="0" w:color="auto"/>
              <w:right w:val="single" w:sz="4" w:space="0" w:color="auto"/>
            </w:tcBorders>
            <w:shd w:val="clear" w:color="auto" w:fill="auto"/>
            <w:vAlign w:val="center"/>
            <w:hideMark/>
          </w:tcPr>
          <w:p w14:paraId="7546C4D0"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918" w:type="dxa"/>
            <w:vMerge w:val="restart"/>
            <w:tcBorders>
              <w:top w:val="nil"/>
              <w:left w:val="single" w:sz="4" w:space="0" w:color="auto"/>
              <w:bottom w:val="single" w:sz="4" w:space="0" w:color="auto"/>
              <w:right w:val="single" w:sz="4" w:space="0" w:color="auto"/>
            </w:tcBorders>
            <w:shd w:val="clear" w:color="auto" w:fill="auto"/>
            <w:vAlign w:val="center"/>
            <w:hideMark/>
          </w:tcPr>
          <w:p w14:paraId="36F95D98"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14:paraId="178857C7"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53" w:type="dxa"/>
            <w:vMerge w:val="restart"/>
            <w:tcBorders>
              <w:top w:val="nil"/>
              <w:left w:val="single" w:sz="4" w:space="0" w:color="auto"/>
              <w:bottom w:val="single" w:sz="4" w:space="0" w:color="auto"/>
              <w:right w:val="single" w:sz="4" w:space="0" w:color="auto"/>
            </w:tcBorders>
            <w:shd w:val="clear" w:color="auto" w:fill="auto"/>
            <w:vAlign w:val="center"/>
            <w:hideMark/>
          </w:tcPr>
          <w:p w14:paraId="649C32AD"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14:paraId="5750F854"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5853946B"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18" w:type="dxa"/>
            <w:vMerge w:val="restart"/>
            <w:tcBorders>
              <w:top w:val="nil"/>
              <w:left w:val="single" w:sz="4" w:space="0" w:color="auto"/>
              <w:bottom w:val="single" w:sz="4" w:space="0" w:color="auto"/>
              <w:right w:val="single" w:sz="4" w:space="0" w:color="auto"/>
            </w:tcBorders>
            <w:shd w:val="clear" w:color="auto" w:fill="auto"/>
            <w:vAlign w:val="center"/>
            <w:hideMark/>
          </w:tcPr>
          <w:p w14:paraId="1971A7E9"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21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4363B8"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6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556E07"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482B17" w:rsidRPr="00482B17" w14:paraId="4D41EB9B" w14:textId="77777777" w:rsidTr="00B334F7">
        <w:trPr>
          <w:trHeight w:val="475"/>
        </w:trPr>
        <w:tc>
          <w:tcPr>
            <w:tcW w:w="818" w:type="dxa"/>
            <w:vMerge/>
            <w:tcBorders>
              <w:top w:val="nil"/>
              <w:left w:val="single" w:sz="4" w:space="0" w:color="auto"/>
              <w:bottom w:val="single" w:sz="4" w:space="0" w:color="auto"/>
              <w:right w:val="single" w:sz="4" w:space="0" w:color="auto"/>
            </w:tcBorders>
            <w:vAlign w:val="center"/>
            <w:hideMark/>
          </w:tcPr>
          <w:p w14:paraId="4BFE1930"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8" w:type="dxa"/>
            <w:vMerge/>
            <w:tcBorders>
              <w:top w:val="nil"/>
              <w:left w:val="single" w:sz="4" w:space="0" w:color="auto"/>
              <w:bottom w:val="single" w:sz="4" w:space="0" w:color="auto"/>
              <w:right w:val="single" w:sz="4" w:space="0" w:color="auto"/>
            </w:tcBorders>
            <w:vAlign w:val="center"/>
            <w:hideMark/>
          </w:tcPr>
          <w:p w14:paraId="6E1921FF"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6" w:type="dxa"/>
            <w:vMerge/>
            <w:tcBorders>
              <w:top w:val="nil"/>
              <w:left w:val="single" w:sz="4" w:space="0" w:color="auto"/>
              <w:bottom w:val="single" w:sz="4" w:space="0" w:color="auto"/>
              <w:right w:val="single" w:sz="4" w:space="0" w:color="auto"/>
            </w:tcBorders>
            <w:vAlign w:val="center"/>
            <w:hideMark/>
          </w:tcPr>
          <w:p w14:paraId="553A327D"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53" w:type="dxa"/>
            <w:vMerge/>
            <w:tcBorders>
              <w:top w:val="nil"/>
              <w:left w:val="single" w:sz="4" w:space="0" w:color="auto"/>
              <w:bottom w:val="single" w:sz="4" w:space="0" w:color="auto"/>
              <w:right w:val="single" w:sz="4" w:space="0" w:color="auto"/>
            </w:tcBorders>
            <w:vAlign w:val="center"/>
            <w:hideMark/>
          </w:tcPr>
          <w:p w14:paraId="34AFD32E"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6" w:type="dxa"/>
            <w:vMerge/>
            <w:tcBorders>
              <w:top w:val="nil"/>
              <w:left w:val="single" w:sz="4" w:space="0" w:color="auto"/>
              <w:bottom w:val="single" w:sz="4" w:space="0" w:color="auto"/>
              <w:right w:val="single" w:sz="4" w:space="0" w:color="auto"/>
            </w:tcBorders>
            <w:vAlign w:val="center"/>
            <w:hideMark/>
          </w:tcPr>
          <w:p w14:paraId="58456985"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8" w:type="dxa"/>
            <w:vMerge/>
            <w:tcBorders>
              <w:top w:val="nil"/>
              <w:left w:val="single" w:sz="4" w:space="0" w:color="auto"/>
              <w:bottom w:val="single" w:sz="4" w:space="0" w:color="auto"/>
              <w:right w:val="single" w:sz="4" w:space="0" w:color="auto"/>
            </w:tcBorders>
            <w:vAlign w:val="center"/>
            <w:hideMark/>
          </w:tcPr>
          <w:p w14:paraId="79EDFD09"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8" w:type="dxa"/>
            <w:vMerge/>
            <w:tcBorders>
              <w:top w:val="nil"/>
              <w:left w:val="single" w:sz="4" w:space="0" w:color="auto"/>
              <w:bottom w:val="single" w:sz="4" w:space="0" w:color="auto"/>
              <w:right w:val="single" w:sz="4" w:space="0" w:color="auto"/>
            </w:tcBorders>
            <w:vAlign w:val="center"/>
            <w:hideMark/>
          </w:tcPr>
          <w:p w14:paraId="3A114DC9"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4E1FA40"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657" w:type="dxa"/>
            <w:gridSpan w:val="2"/>
            <w:vMerge/>
            <w:tcBorders>
              <w:top w:val="single" w:sz="4" w:space="0" w:color="auto"/>
              <w:left w:val="single" w:sz="4" w:space="0" w:color="auto"/>
              <w:bottom w:val="single" w:sz="4" w:space="0" w:color="auto"/>
              <w:right w:val="single" w:sz="4" w:space="0" w:color="auto"/>
            </w:tcBorders>
            <w:vAlign w:val="center"/>
            <w:hideMark/>
          </w:tcPr>
          <w:p w14:paraId="2C4A481C"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482B17" w:rsidRPr="00482B17" w14:paraId="0B06D3CA" w14:textId="77777777" w:rsidTr="00B334F7">
        <w:trPr>
          <w:trHeight w:val="475"/>
        </w:trPr>
        <w:tc>
          <w:tcPr>
            <w:tcW w:w="818" w:type="dxa"/>
            <w:vMerge/>
            <w:tcBorders>
              <w:top w:val="nil"/>
              <w:left w:val="single" w:sz="4" w:space="0" w:color="auto"/>
              <w:bottom w:val="single" w:sz="4" w:space="0" w:color="auto"/>
              <w:right w:val="single" w:sz="4" w:space="0" w:color="auto"/>
            </w:tcBorders>
            <w:vAlign w:val="center"/>
            <w:hideMark/>
          </w:tcPr>
          <w:p w14:paraId="74F880A2"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8" w:type="dxa"/>
            <w:vMerge/>
            <w:tcBorders>
              <w:top w:val="nil"/>
              <w:left w:val="single" w:sz="4" w:space="0" w:color="auto"/>
              <w:bottom w:val="single" w:sz="4" w:space="0" w:color="auto"/>
              <w:right w:val="single" w:sz="4" w:space="0" w:color="auto"/>
            </w:tcBorders>
            <w:vAlign w:val="center"/>
            <w:hideMark/>
          </w:tcPr>
          <w:p w14:paraId="7C6BB332"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6" w:type="dxa"/>
            <w:vMerge/>
            <w:tcBorders>
              <w:top w:val="nil"/>
              <w:left w:val="single" w:sz="4" w:space="0" w:color="auto"/>
              <w:bottom w:val="single" w:sz="4" w:space="0" w:color="auto"/>
              <w:right w:val="single" w:sz="4" w:space="0" w:color="auto"/>
            </w:tcBorders>
            <w:vAlign w:val="center"/>
            <w:hideMark/>
          </w:tcPr>
          <w:p w14:paraId="4AC6782E"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53" w:type="dxa"/>
            <w:vMerge/>
            <w:tcBorders>
              <w:top w:val="nil"/>
              <w:left w:val="single" w:sz="4" w:space="0" w:color="auto"/>
              <w:bottom w:val="single" w:sz="4" w:space="0" w:color="auto"/>
              <w:right w:val="single" w:sz="4" w:space="0" w:color="auto"/>
            </w:tcBorders>
            <w:vAlign w:val="center"/>
            <w:hideMark/>
          </w:tcPr>
          <w:p w14:paraId="3AFD4FA8"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6" w:type="dxa"/>
            <w:vMerge/>
            <w:tcBorders>
              <w:top w:val="nil"/>
              <w:left w:val="single" w:sz="4" w:space="0" w:color="auto"/>
              <w:bottom w:val="single" w:sz="4" w:space="0" w:color="auto"/>
              <w:right w:val="single" w:sz="4" w:space="0" w:color="auto"/>
            </w:tcBorders>
            <w:vAlign w:val="center"/>
            <w:hideMark/>
          </w:tcPr>
          <w:p w14:paraId="22E5BCCB"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8" w:type="dxa"/>
            <w:vMerge/>
            <w:tcBorders>
              <w:top w:val="nil"/>
              <w:left w:val="single" w:sz="4" w:space="0" w:color="auto"/>
              <w:bottom w:val="single" w:sz="4" w:space="0" w:color="auto"/>
              <w:right w:val="single" w:sz="4" w:space="0" w:color="auto"/>
            </w:tcBorders>
            <w:vAlign w:val="center"/>
            <w:hideMark/>
          </w:tcPr>
          <w:p w14:paraId="62888CA3"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8" w:type="dxa"/>
            <w:vMerge/>
            <w:tcBorders>
              <w:top w:val="nil"/>
              <w:left w:val="single" w:sz="4" w:space="0" w:color="auto"/>
              <w:bottom w:val="single" w:sz="4" w:space="0" w:color="auto"/>
              <w:right w:val="single" w:sz="4" w:space="0" w:color="auto"/>
            </w:tcBorders>
            <w:vAlign w:val="center"/>
            <w:hideMark/>
          </w:tcPr>
          <w:p w14:paraId="2B8841B3"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385" w:type="dxa"/>
            <w:tcBorders>
              <w:top w:val="nil"/>
              <w:left w:val="nil"/>
              <w:bottom w:val="single" w:sz="4" w:space="0" w:color="auto"/>
              <w:right w:val="single" w:sz="4" w:space="0" w:color="auto"/>
            </w:tcBorders>
            <w:shd w:val="clear" w:color="auto" w:fill="auto"/>
            <w:vAlign w:val="center"/>
            <w:hideMark/>
          </w:tcPr>
          <w:p w14:paraId="254D4CDE"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14" w:type="dxa"/>
            <w:tcBorders>
              <w:top w:val="nil"/>
              <w:left w:val="nil"/>
              <w:bottom w:val="single" w:sz="4" w:space="0" w:color="auto"/>
              <w:right w:val="single" w:sz="4" w:space="0" w:color="auto"/>
            </w:tcBorders>
            <w:shd w:val="clear" w:color="auto" w:fill="auto"/>
            <w:vAlign w:val="center"/>
            <w:hideMark/>
          </w:tcPr>
          <w:p w14:paraId="218A9626"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24" w:type="dxa"/>
            <w:tcBorders>
              <w:top w:val="nil"/>
              <w:left w:val="nil"/>
              <w:bottom w:val="single" w:sz="4" w:space="0" w:color="auto"/>
              <w:right w:val="single" w:sz="4" w:space="0" w:color="auto"/>
            </w:tcBorders>
            <w:shd w:val="clear" w:color="auto" w:fill="auto"/>
            <w:vAlign w:val="center"/>
            <w:hideMark/>
          </w:tcPr>
          <w:p w14:paraId="5CAEFDCE"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32" w:type="dxa"/>
            <w:tcBorders>
              <w:top w:val="nil"/>
              <w:left w:val="nil"/>
              <w:bottom w:val="single" w:sz="4" w:space="0" w:color="auto"/>
              <w:right w:val="single" w:sz="4" w:space="0" w:color="auto"/>
            </w:tcBorders>
            <w:shd w:val="clear" w:color="auto" w:fill="auto"/>
            <w:vAlign w:val="center"/>
            <w:hideMark/>
          </w:tcPr>
          <w:p w14:paraId="404BA50C"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A94381" w:rsidRPr="00482B17" w14:paraId="782FC8C6" w14:textId="77777777" w:rsidTr="00482B17">
        <w:trPr>
          <w:trHeight w:val="475"/>
        </w:trPr>
        <w:tc>
          <w:tcPr>
            <w:tcW w:w="818" w:type="dxa"/>
            <w:tcBorders>
              <w:top w:val="nil"/>
              <w:left w:val="single" w:sz="4" w:space="0" w:color="auto"/>
              <w:bottom w:val="single" w:sz="4" w:space="0" w:color="auto"/>
              <w:right w:val="single" w:sz="4" w:space="0" w:color="auto"/>
            </w:tcBorders>
            <w:shd w:val="clear" w:color="auto" w:fill="auto"/>
            <w:vAlign w:val="center"/>
            <w:hideMark/>
          </w:tcPr>
          <w:p w14:paraId="1FF7A51B"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18" w:type="dxa"/>
            <w:vMerge w:val="restart"/>
            <w:tcBorders>
              <w:top w:val="nil"/>
              <w:left w:val="single" w:sz="4" w:space="0" w:color="auto"/>
              <w:bottom w:val="single" w:sz="4" w:space="0" w:color="auto"/>
              <w:right w:val="single" w:sz="4" w:space="0" w:color="auto"/>
            </w:tcBorders>
            <w:shd w:val="clear" w:color="auto" w:fill="auto"/>
            <w:vAlign w:val="center"/>
            <w:hideMark/>
          </w:tcPr>
          <w:p w14:paraId="7A85C38A"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UL</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78AB70F4"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UL</w:t>
            </w:r>
          </w:p>
        </w:tc>
        <w:tc>
          <w:tcPr>
            <w:tcW w:w="1153" w:type="dxa"/>
            <w:tcBorders>
              <w:top w:val="nil"/>
              <w:left w:val="nil"/>
              <w:bottom w:val="single" w:sz="4" w:space="0" w:color="auto"/>
              <w:right w:val="single" w:sz="4" w:space="0" w:color="auto"/>
            </w:tcBorders>
            <w:shd w:val="clear" w:color="auto" w:fill="auto"/>
            <w:vAlign w:val="center"/>
            <w:hideMark/>
          </w:tcPr>
          <w:p w14:paraId="6419292A"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14:paraId="344D1915"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TDD: 53 dBm</w:t>
            </w:r>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0CC818E4"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Enabled, without sub-band filtering</w:t>
            </w:r>
          </w:p>
        </w:tc>
        <w:tc>
          <w:tcPr>
            <w:tcW w:w="918" w:type="dxa"/>
            <w:vMerge w:val="restart"/>
            <w:tcBorders>
              <w:top w:val="nil"/>
              <w:left w:val="single" w:sz="4" w:space="0" w:color="auto"/>
              <w:bottom w:val="single" w:sz="4" w:space="0" w:color="auto"/>
              <w:right w:val="single" w:sz="4" w:space="0" w:color="auto"/>
            </w:tcBorders>
            <w:shd w:val="clear" w:color="auto" w:fill="auto"/>
            <w:vAlign w:val="center"/>
            <w:hideMark/>
          </w:tcPr>
          <w:p w14:paraId="736FA9A2"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TDD: 53 dBm</w:t>
            </w:r>
          </w:p>
        </w:tc>
        <w:tc>
          <w:tcPr>
            <w:tcW w:w="1385" w:type="dxa"/>
            <w:tcBorders>
              <w:top w:val="nil"/>
              <w:left w:val="nil"/>
              <w:bottom w:val="single" w:sz="4" w:space="0" w:color="auto"/>
              <w:right w:val="single" w:sz="4" w:space="0" w:color="auto"/>
            </w:tcBorders>
            <w:shd w:val="clear" w:color="auto" w:fill="auto"/>
            <w:noWrap/>
            <w:vAlign w:val="center"/>
            <w:hideMark/>
          </w:tcPr>
          <w:p w14:paraId="1DCB9EA5"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0.08</w:t>
            </w:r>
          </w:p>
        </w:tc>
        <w:tc>
          <w:tcPr>
            <w:tcW w:w="814" w:type="dxa"/>
            <w:tcBorders>
              <w:top w:val="nil"/>
              <w:left w:val="nil"/>
              <w:bottom w:val="single" w:sz="4" w:space="0" w:color="auto"/>
              <w:right w:val="single" w:sz="4" w:space="0" w:color="auto"/>
            </w:tcBorders>
            <w:shd w:val="clear" w:color="auto" w:fill="auto"/>
            <w:noWrap/>
            <w:vAlign w:val="center"/>
            <w:hideMark/>
          </w:tcPr>
          <w:p w14:paraId="2791DDE9"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0.07</w:t>
            </w:r>
          </w:p>
        </w:tc>
        <w:tc>
          <w:tcPr>
            <w:tcW w:w="82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1FAEF71"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32" w:type="dxa"/>
            <w:tcBorders>
              <w:top w:val="nil"/>
              <w:left w:val="nil"/>
              <w:bottom w:val="single" w:sz="4" w:space="0" w:color="auto"/>
              <w:right w:val="single" w:sz="4" w:space="0" w:color="auto"/>
            </w:tcBorders>
            <w:shd w:val="clear" w:color="auto" w:fill="auto"/>
            <w:noWrap/>
            <w:vAlign w:val="center"/>
            <w:hideMark/>
          </w:tcPr>
          <w:p w14:paraId="32C07394"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0.76</w:t>
            </w:r>
          </w:p>
        </w:tc>
      </w:tr>
      <w:tr w:rsidR="00A94381" w:rsidRPr="00482B17" w14:paraId="491626D1" w14:textId="77777777" w:rsidTr="00482B17">
        <w:trPr>
          <w:trHeight w:val="475"/>
        </w:trPr>
        <w:tc>
          <w:tcPr>
            <w:tcW w:w="818" w:type="dxa"/>
            <w:tcBorders>
              <w:top w:val="nil"/>
              <w:left w:val="single" w:sz="4" w:space="0" w:color="auto"/>
              <w:bottom w:val="single" w:sz="4" w:space="0" w:color="auto"/>
              <w:right w:val="single" w:sz="4" w:space="0" w:color="auto"/>
            </w:tcBorders>
            <w:shd w:val="clear" w:color="auto" w:fill="auto"/>
            <w:vAlign w:val="center"/>
            <w:hideMark/>
          </w:tcPr>
          <w:p w14:paraId="0C45D9F8"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18" w:type="dxa"/>
            <w:vMerge/>
            <w:tcBorders>
              <w:top w:val="nil"/>
              <w:left w:val="single" w:sz="4" w:space="0" w:color="auto"/>
              <w:bottom w:val="single" w:sz="4" w:space="0" w:color="auto"/>
              <w:right w:val="single" w:sz="4" w:space="0" w:color="auto"/>
            </w:tcBorders>
            <w:vAlign w:val="center"/>
            <w:hideMark/>
          </w:tcPr>
          <w:p w14:paraId="6EC7B351"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6" w:type="dxa"/>
            <w:vMerge/>
            <w:tcBorders>
              <w:top w:val="nil"/>
              <w:left w:val="single" w:sz="4" w:space="0" w:color="auto"/>
              <w:bottom w:val="single" w:sz="4" w:space="0" w:color="000000"/>
              <w:right w:val="single" w:sz="4" w:space="0" w:color="auto"/>
            </w:tcBorders>
            <w:vAlign w:val="center"/>
            <w:hideMark/>
          </w:tcPr>
          <w:p w14:paraId="7E371B6A"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53" w:type="dxa"/>
            <w:tcBorders>
              <w:top w:val="nil"/>
              <w:left w:val="nil"/>
              <w:bottom w:val="single" w:sz="4" w:space="0" w:color="auto"/>
              <w:right w:val="single" w:sz="4" w:space="0" w:color="auto"/>
            </w:tcBorders>
            <w:shd w:val="clear" w:color="auto" w:fill="auto"/>
            <w:vAlign w:val="center"/>
            <w:hideMark/>
          </w:tcPr>
          <w:p w14:paraId="2323AE6A"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46" w:type="dxa"/>
            <w:vMerge/>
            <w:tcBorders>
              <w:top w:val="nil"/>
              <w:left w:val="single" w:sz="4" w:space="0" w:color="auto"/>
              <w:bottom w:val="single" w:sz="4" w:space="0" w:color="auto"/>
              <w:right w:val="single" w:sz="4" w:space="0" w:color="auto"/>
            </w:tcBorders>
            <w:vAlign w:val="center"/>
            <w:hideMark/>
          </w:tcPr>
          <w:p w14:paraId="2AE6EA8E"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8" w:type="dxa"/>
            <w:vMerge/>
            <w:tcBorders>
              <w:top w:val="nil"/>
              <w:left w:val="single" w:sz="4" w:space="0" w:color="auto"/>
              <w:bottom w:val="single" w:sz="4" w:space="0" w:color="auto"/>
              <w:right w:val="single" w:sz="4" w:space="0" w:color="auto"/>
            </w:tcBorders>
            <w:vAlign w:val="center"/>
            <w:hideMark/>
          </w:tcPr>
          <w:p w14:paraId="77C11F73"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8" w:type="dxa"/>
            <w:vMerge/>
            <w:tcBorders>
              <w:top w:val="nil"/>
              <w:left w:val="single" w:sz="4" w:space="0" w:color="auto"/>
              <w:bottom w:val="single" w:sz="4" w:space="0" w:color="auto"/>
              <w:right w:val="single" w:sz="4" w:space="0" w:color="auto"/>
            </w:tcBorders>
            <w:vAlign w:val="center"/>
            <w:hideMark/>
          </w:tcPr>
          <w:p w14:paraId="46E08520"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85" w:type="dxa"/>
            <w:tcBorders>
              <w:top w:val="nil"/>
              <w:left w:val="nil"/>
              <w:bottom w:val="single" w:sz="4" w:space="0" w:color="auto"/>
              <w:right w:val="single" w:sz="4" w:space="0" w:color="auto"/>
            </w:tcBorders>
            <w:shd w:val="clear" w:color="auto" w:fill="auto"/>
            <w:noWrap/>
            <w:vAlign w:val="center"/>
            <w:hideMark/>
          </w:tcPr>
          <w:p w14:paraId="2E5FEA54"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-0.37</w:t>
            </w:r>
          </w:p>
        </w:tc>
        <w:tc>
          <w:tcPr>
            <w:tcW w:w="814" w:type="dxa"/>
            <w:tcBorders>
              <w:top w:val="nil"/>
              <w:left w:val="nil"/>
              <w:bottom w:val="single" w:sz="4" w:space="0" w:color="auto"/>
              <w:right w:val="single" w:sz="4" w:space="0" w:color="auto"/>
            </w:tcBorders>
            <w:shd w:val="clear" w:color="auto" w:fill="auto"/>
            <w:noWrap/>
            <w:vAlign w:val="center"/>
            <w:hideMark/>
          </w:tcPr>
          <w:p w14:paraId="30AD59DB"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0.07</w:t>
            </w:r>
          </w:p>
        </w:tc>
        <w:tc>
          <w:tcPr>
            <w:tcW w:w="82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55CE906"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32" w:type="dxa"/>
            <w:tcBorders>
              <w:top w:val="nil"/>
              <w:left w:val="nil"/>
              <w:bottom w:val="single" w:sz="4" w:space="0" w:color="auto"/>
              <w:right w:val="single" w:sz="4" w:space="0" w:color="auto"/>
            </w:tcBorders>
            <w:shd w:val="clear" w:color="auto" w:fill="auto"/>
            <w:noWrap/>
            <w:vAlign w:val="center"/>
            <w:hideMark/>
          </w:tcPr>
          <w:p w14:paraId="58644313"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-0.31</w:t>
            </w:r>
          </w:p>
        </w:tc>
      </w:tr>
      <w:tr w:rsidR="00E73956" w:rsidRPr="00482B17" w14:paraId="580615FC" w14:textId="77777777" w:rsidTr="00482B17">
        <w:trPr>
          <w:trHeight w:val="1211"/>
        </w:trPr>
        <w:tc>
          <w:tcPr>
            <w:tcW w:w="818" w:type="dxa"/>
            <w:tcBorders>
              <w:top w:val="nil"/>
              <w:left w:val="single" w:sz="4" w:space="0" w:color="auto"/>
              <w:bottom w:val="single" w:sz="4" w:space="0" w:color="auto"/>
              <w:right w:val="single" w:sz="4" w:space="0" w:color="auto"/>
            </w:tcBorders>
            <w:shd w:val="clear" w:color="auto" w:fill="auto"/>
            <w:vAlign w:val="center"/>
            <w:hideMark/>
          </w:tcPr>
          <w:p w14:paraId="282430D9"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18" w:type="dxa"/>
            <w:vMerge w:val="restart"/>
            <w:tcBorders>
              <w:top w:val="nil"/>
              <w:left w:val="single" w:sz="4" w:space="0" w:color="auto"/>
              <w:bottom w:val="single" w:sz="4" w:space="0" w:color="auto"/>
              <w:right w:val="single" w:sz="4" w:space="0" w:color="auto"/>
            </w:tcBorders>
            <w:shd w:val="clear" w:color="auto" w:fill="auto"/>
            <w:vAlign w:val="center"/>
            <w:hideMark/>
          </w:tcPr>
          <w:p w14:paraId="0F72B0A1"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w:t>
            </w:r>
          </w:p>
        </w:tc>
        <w:tc>
          <w:tcPr>
            <w:tcW w:w="846" w:type="dxa"/>
            <w:vMerge/>
            <w:tcBorders>
              <w:top w:val="nil"/>
              <w:left w:val="single" w:sz="4" w:space="0" w:color="auto"/>
              <w:bottom w:val="single" w:sz="4" w:space="0" w:color="000000"/>
              <w:right w:val="single" w:sz="4" w:space="0" w:color="auto"/>
            </w:tcBorders>
            <w:vAlign w:val="center"/>
            <w:hideMark/>
          </w:tcPr>
          <w:p w14:paraId="3DEEC204"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53" w:type="dxa"/>
            <w:tcBorders>
              <w:top w:val="nil"/>
              <w:left w:val="nil"/>
              <w:bottom w:val="single" w:sz="4" w:space="0" w:color="auto"/>
              <w:right w:val="single" w:sz="4" w:space="0" w:color="auto"/>
            </w:tcBorders>
            <w:shd w:val="clear" w:color="auto" w:fill="auto"/>
            <w:vAlign w:val="center"/>
            <w:hideMark/>
          </w:tcPr>
          <w:p w14:paraId="0B95EFC5"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46" w:type="dxa"/>
            <w:vMerge/>
            <w:tcBorders>
              <w:top w:val="nil"/>
              <w:left w:val="single" w:sz="4" w:space="0" w:color="auto"/>
              <w:bottom w:val="single" w:sz="4" w:space="0" w:color="auto"/>
              <w:right w:val="single" w:sz="4" w:space="0" w:color="auto"/>
            </w:tcBorders>
            <w:vAlign w:val="center"/>
            <w:hideMark/>
          </w:tcPr>
          <w:p w14:paraId="121C03A7"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8" w:type="dxa"/>
            <w:vMerge/>
            <w:tcBorders>
              <w:top w:val="nil"/>
              <w:left w:val="single" w:sz="4" w:space="0" w:color="auto"/>
              <w:bottom w:val="single" w:sz="4" w:space="0" w:color="auto"/>
              <w:right w:val="single" w:sz="4" w:space="0" w:color="auto"/>
            </w:tcBorders>
            <w:vAlign w:val="center"/>
            <w:hideMark/>
          </w:tcPr>
          <w:p w14:paraId="57C4E227"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8" w:type="dxa"/>
            <w:vMerge w:val="restart"/>
            <w:tcBorders>
              <w:top w:val="nil"/>
              <w:left w:val="single" w:sz="4" w:space="0" w:color="auto"/>
              <w:bottom w:val="single" w:sz="4" w:space="0" w:color="auto"/>
              <w:right w:val="single" w:sz="4" w:space="0" w:color="auto"/>
            </w:tcBorders>
            <w:shd w:val="clear" w:color="auto" w:fill="auto"/>
            <w:vAlign w:val="center"/>
            <w:hideMark/>
          </w:tcPr>
          <w:p w14:paraId="3724CCC2"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50 dBm</w:t>
            </w:r>
          </w:p>
        </w:tc>
        <w:tc>
          <w:tcPr>
            <w:tcW w:w="1385" w:type="dxa"/>
            <w:tcBorders>
              <w:top w:val="nil"/>
              <w:left w:val="nil"/>
              <w:bottom w:val="single" w:sz="4" w:space="0" w:color="auto"/>
              <w:right w:val="single" w:sz="4" w:space="0" w:color="auto"/>
            </w:tcBorders>
            <w:shd w:val="clear" w:color="auto" w:fill="auto"/>
            <w:noWrap/>
            <w:vAlign w:val="center"/>
            <w:hideMark/>
          </w:tcPr>
          <w:p w14:paraId="19CFF91C"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12.08</w:t>
            </w:r>
          </w:p>
        </w:tc>
        <w:tc>
          <w:tcPr>
            <w:tcW w:w="814" w:type="dxa"/>
            <w:tcBorders>
              <w:top w:val="nil"/>
              <w:left w:val="nil"/>
              <w:bottom w:val="single" w:sz="4" w:space="0" w:color="auto"/>
              <w:right w:val="single" w:sz="4" w:space="0" w:color="auto"/>
            </w:tcBorders>
            <w:shd w:val="clear" w:color="auto" w:fill="auto"/>
            <w:noWrap/>
            <w:vAlign w:val="center"/>
            <w:hideMark/>
          </w:tcPr>
          <w:p w14:paraId="5A945759"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5.37</w:t>
            </w:r>
          </w:p>
        </w:tc>
        <w:tc>
          <w:tcPr>
            <w:tcW w:w="82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7E7E9AC"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32"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6FC1405"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22.94</w:t>
            </w:r>
          </w:p>
        </w:tc>
      </w:tr>
      <w:tr w:rsidR="00E73956" w:rsidRPr="00482B17" w14:paraId="625BE623" w14:textId="77777777" w:rsidTr="00482B17">
        <w:trPr>
          <w:trHeight w:val="1211"/>
        </w:trPr>
        <w:tc>
          <w:tcPr>
            <w:tcW w:w="818" w:type="dxa"/>
            <w:tcBorders>
              <w:top w:val="nil"/>
              <w:left w:val="single" w:sz="4" w:space="0" w:color="auto"/>
              <w:bottom w:val="single" w:sz="4" w:space="0" w:color="auto"/>
              <w:right w:val="single" w:sz="4" w:space="0" w:color="auto"/>
            </w:tcBorders>
            <w:shd w:val="clear" w:color="auto" w:fill="auto"/>
            <w:vAlign w:val="center"/>
            <w:hideMark/>
          </w:tcPr>
          <w:p w14:paraId="7C8648DF"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18" w:type="dxa"/>
            <w:vMerge/>
            <w:tcBorders>
              <w:top w:val="nil"/>
              <w:left w:val="single" w:sz="4" w:space="0" w:color="auto"/>
              <w:bottom w:val="single" w:sz="4" w:space="0" w:color="auto"/>
              <w:right w:val="single" w:sz="4" w:space="0" w:color="auto"/>
            </w:tcBorders>
            <w:vAlign w:val="center"/>
            <w:hideMark/>
          </w:tcPr>
          <w:p w14:paraId="46A69B88"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6" w:type="dxa"/>
            <w:vMerge/>
            <w:tcBorders>
              <w:top w:val="nil"/>
              <w:left w:val="single" w:sz="4" w:space="0" w:color="auto"/>
              <w:bottom w:val="single" w:sz="4" w:space="0" w:color="000000"/>
              <w:right w:val="single" w:sz="4" w:space="0" w:color="auto"/>
            </w:tcBorders>
            <w:vAlign w:val="center"/>
            <w:hideMark/>
          </w:tcPr>
          <w:p w14:paraId="00A98874"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53" w:type="dxa"/>
            <w:tcBorders>
              <w:top w:val="nil"/>
              <w:left w:val="nil"/>
              <w:bottom w:val="single" w:sz="4" w:space="0" w:color="auto"/>
              <w:right w:val="single" w:sz="4" w:space="0" w:color="auto"/>
            </w:tcBorders>
            <w:shd w:val="clear" w:color="auto" w:fill="auto"/>
            <w:vAlign w:val="center"/>
            <w:hideMark/>
          </w:tcPr>
          <w:p w14:paraId="02E467AB"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46" w:type="dxa"/>
            <w:vMerge/>
            <w:tcBorders>
              <w:top w:val="nil"/>
              <w:left w:val="single" w:sz="4" w:space="0" w:color="auto"/>
              <w:bottom w:val="single" w:sz="4" w:space="0" w:color="auto"/>
              <w:right w:val="single" w:sz="4" w:space="0" w:color="auto"/>
            </w:tcBorders>
            <w:vAlign w:val="center"/>
            <w:hideMark/>
          </w:tcPr>
          <w:p w14:paraId="0F69ADF8"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8" w:type="dxa"/>
            <w:vMerge/>
            <w:tcBorders>
              <w:top w:val="nil"/>
              <w:left w:val="single" w:sz="4" w:space="0" w:color="auto"/>
              <w:bottom w:val="single" w:sz="4" w:space="0" w:color="auto"/>
              <w:right w:val="single" w:sz="4" w:space="0" w:color="auto"/>
            </w:tcBorders>
            <w:vAlign w:val="center"/>
            <w:hideMark/>
          </w:tcPr>
          <w:p w14:paraId="6443AD76"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8" w:type="dxa"/>
            <w:vMerge/>
            <w:tcBorders>
              <w:top w:val="nil"/>
              <w:left w:val="single" w:sz="4" w:space="0" w:color="auto"/>
              <w:bottom w:val="single" w:sz="4" w:space="0" w:color="auto"/>
              <w:right w:val="single" w:sz="4" w:space="0" w:color="auto"/>
            </w:tcBorders>
            <w:vAlign w:val="center"/>
            <w:hideMark/>
          </w:tcPr>
          <w:p w14:paraId="1362796D"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85" w:type="dxa"/>
            <w:tcBorders>
              <w:top w:val="nil"/>
              <w:left w:val="nil"/>
              <w:bottom w:val="single" w:sz="4" w:space="0" w:color="auto"/>
              <w:right w:val="single" w:sz="4" w:space="0" w:color="auto"/>
            </w:tcBorders>
            <w:shd w:val="clear" w:color="auto" w:fill="auto"/>
            <w:noWrap/>
            <w:vAlign w:val="center"/>
            <w:hideMark/>
          </w:tcPr>
          <w:p w14:paraId="43D8F575"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Receiver blocked</w:t>
            </w:r>
          </w:p>
        </w:tc>
        <w:tc>
          <w:tcPr>
            <w:tcW w:w="814" w:type="dxa"/>
            <w:tcBorders>
              <w:top w:val="nil"/>
              <w:left w:val="nil"/>
              <w:bottom w:val="single" w:sz="4" w:space="0" w:color="auto"/>
              <w:right w:val="single" w:sz="4" w:space="0" w:color="auto"/>
            </w:tcBorders>
            <w:shd w:val="clear" w:color="auto" w:fill="auto"/>
            <w:noWrap/>
            <w:vAlign w:val="center"/>
            <w:hideMark/>
          </w:tcPr>
          <w:p w14:paraId="754D5F72"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11.24</w:t>
            </w:r>
          </w:p>
        </w:tc>
        <w:tc>
          <w:tcPr>
            <w:tcW w:w="82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4537F5E"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32"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24A02CF"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45.78</w:t>
            </w:r>
          </w:p>
        </w:tc>
      </w:tr>
      <w:tr w:rsidR="00E73956" w:rsidRPr="00482B17" w14:paraId="0A065D3C" w14:textId="77777777" w:rsidTr="00482B17">
        <w:trPr>
          <w:trHeight w:val="1211"/>
        </w:trPr>
        <w:tc>
          <w:tcPr>
            <w:tcW w:w="818" w:type="dxa"/>
            <w:tcBorders>
              <w:top w:val="nil"/>
              <w:left w:val="single" w:sz="4" w:space="0" w:color="auto"/>
              <w:bottom w:val="single" w:sz="4" w:space="0" w:color="auto"/>
              <w:right w:val="single" w:sz="4" w:space="0" w:color="auto"/>
            </w:tcBorders>
            <w:shd w:val="clear" w:color="auto" w:fill="auto"/>
            <w:vAlign w:val="center"/>
            <w:hideMark/>
          </w:tcPr>
          <w:p w14:paraId="7A98ADBE"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lastRenderedPageBreak/>
              <w:t>100%</w:t>
            </w:r>
          </w:p>
        </w:tc>
        <w:tc>
          <w:tcPr>
            <w:tcW w:w="918" w:type="dxa"/>
            <w:vMerge w:val="restart"/>
            <w:tcBorders>
              <w:top w:val="nil"/>
              <w:left w:val="single" w:sz="4" w:space="0" w:color="auto"/>
              <w:bottom w:val="single" w:sz="4" w:space="0" w:color="auto"/>
              <w:right w:val="single" w:sz="4" w:space="0" w:color="auto"/>
            </w:tcBorders>
            <w:shd w:val="clear" w:color="auto" w:fill="auto"/>
            <w:vAlign w:val="center"/>
            <w:hideMark/>
          </w:tcPr>
          <w:p w14:paraId="4E4E5AD8"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w:t>
            </w:r>
          </w:p>
        </w:tc>
        <w:tc>
          <w:tcPr>
            <w:tcW w:w="846" w:type="dxa"/>
            <w:vMerge/>
            <w:tcBorders>
              <w:top w:val="nil"/>
              <w:left w:val="single" w:sz="4" w:space="0" w:color="auto"/>
              <w:bottom w:val="single" w:sz="4" w:space="0" w:color="000000"/>
              <w:right w:val="single" w:sz="4" w:space="0" w:color="auto"/>
            </w:tcBorders>
            <w:vAlign w:val="center"/>
            <w:hideMark/>
          </w:tcPr>
          <w:p w14:paraId="2EFFDE05"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53" w:type="dxa"/>
            <w:tcBorders>
              <w:top w:val="nil"/>
              <w:left w:val="nil"/>
              <w:bottom w:val="single" w:sz="4" w:space="0" w:color="auto"/>
              <w:right w:val="single" w:sz="4" w:space="0" w:color="auto"/>
            </w:tcBorders>
            <w:shd w:val="clear" w:color="auto" w:fill="auto"/>
            <w:vAlign w:val="center"/>
            <w:hideMark/>
          </w:tcPr>
          <w:p w14:paraId="28F53F95"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46" w:type="dxa"/>
            <w:vMerge/>
            <w:tcBorders>
              <w:top w:val="nil"/>
              <w:left w:val="single" w:sz="4" w:space="0" w:color="auto"/>
              <w:bottom w:val="single" w:sz="4" w:space="0" w:color="auto"/>
              <w:right w:val="single" w:sz="4" w:space="0" w:color="auto"/>
            </w:tcBorders>
            <w:vAlign w:val="center"/>
            <w:hideMark/>
          </w:tcPr>
          <w:p w14:paraId="639501D5"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8" w:type="dxa"/>
            <w:vMerge/>
            <w:tcBorders>
              <w:top w:val="nil"/>
              <w:left w:val="single" w:sz="4" w:space="0" w:color="auto"/>
              <w:bottom w:val="single" w:sz="4" w:space="0" w:color="auto"/>
              <w:right w:val="single" w:sz="4" w:space="0" w:color="auto"/>
            </w:tcBorders>
            <w:vAlign w:val="center"/>
            <w:hideMark/>
          </w:tcPr>
          <w:p w14:paraId="667425E3"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8" w:type="dxa"/>
            <w:vMerge w:val="restart"/>
            <w:tcBorders>
              <w:top w:val="nil"/>
              <w:left w:val="single" w:sz="4" w:space="0" w:color="auto"/>
              <w:bottom w:val="single" w:sz="4" w:space="0" w:color="auto"/>
              <w:right w:val="single" w:sz="4" w:space="0" w:color="auto"/>
            </w:tcBorders>
            <w:shd w:val="clear" w:color="auto" w:fill="auto"/>
            <w:vAlign w:val="center"/>
            <w:hideMark/>
          </w:tcPr>
          <w:p w14:paraId="10DE69AF"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53 dBm</w:t>
            </w:r>
          </w:p>
        </w:tc>
        <w:tc>
          <w:tcPr>
            <w:tcW w:w="1385" w:type="dxa"/>
            <w:tcBorders>
              <w:top w:val="nil"/>
              <w:left w:val="nil"/>
              <w:bottom w:val="single" w:sz="4" w:space="0" w:color="auto"/>
              <w:right w:val="single" w:sz="4" w:space="0" w:color="auto"/>
            </w:tcBorders>
            <w:shd w:val="clear" w:color="auto" w:fill="auto"/>
            <w:noWrap/>
            <w:vAlign w:val="center"/>
            <w:hideMark/>
          </w:tcPr>
          <w:p w14:paraId="3F89077C"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20.89</w:t>
            </w:r>
          </w:p>
        </w:tc>
        <w:tc>
          <w:tcPr>
            <w:tcW w:w="814" w:type="dxa"/>
            <w:tcBorders>
              <w:top w:val="nil"/>
              <w:left w:val="nil"/>
              <w:bottom w:val="single" w:sz="4" w:space="0" w:color="auto"/>
              <w:right w:val="single" w:sz="4" w:space="0" w:color="auto"/>
            </w:tcBorders>
            <w:shd w:val="clear" w:color="auto" w:fill="auto"/>
            <w:noWrap/>
            <w:vAlign w:val="center"/>
            <w:hideMark/>
          </w:tcPr>
          <w:p w14:paraId="06F100A2"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6.42</w:t>
            </w:r>
          </w:p>
        </w:tc>
        <w:tc>
          <w:tcPr>
            <w:tcW w:w="82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6B1FF7F"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32"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5A39143"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27.02</w:t>
            </w:r>
          </w:p>
        </w:tc>
      </w:tr>
      <w:tr w:rsidR="00E73956" w:rsidRPr="00482B17" w14:paraId="19F8B337" w14:textId="77777777" w:rsidTr="00482B17">
        <w:trPr>
          <w:trHeight w:val="1211"/>
        </w:trPr>
        <w:tc>
          <w:tcPr>
            <w:tcW w:w="818" w:type="dxa"/>
            <w:tcBorders>
              <w:top w:val="nil"/>
              <w:left w:val="single" w:sz="4" w:space="0" w:color="auto"/>
              <w:bottom w:val="single" w:sz="4" w:space="0" w:color="auto"/>
              <w:right w:val="single" w:sz="4" w:space="0" w:color="auto"/>
            </w:tcBorders>
            <w:shd w:val="clear" w:color="auto" w:fill="auto"/>
            <w:vAlign w:val="center"/>
            <w:hideMark/>
          </w:tcPr>
          <w:p w14:paraId="313385D0"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18" w:type="dxa"/>
            <w:vMerge/>
            <w:tcBorders>
              <w:top w:val="nil"/>
              <w:left w:val="single" w:sz="4" w:space="0" w:color="auto"/>
              <w:bottom w:val="single" w:sz="4" w:space="0" w:color="auto"/>
              <w:right w:val="single" w:sz="4" w:space="0" w:color="auto"/>
            </w:tcBorders>
            <w:vAlign w:val="center"/>
            <w:hideMark/>
          </w:tcPr>
          <w:p w14:paraId="20A14D30"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6" w:type="dxa"/>
            <w:vMerge/>
            <w:tcBorders>
              <w:top w:val="nil"/>
              <w:left w:val="single" w:sz="4" w:space="0" w:color="auto"/>
              <w:bottom w:val="single" w:sz="4" w:space="0" w:color="000000"/>
              <w:right w:val="single" w:sz="4" w:space="0" w:color="auto"/>
            </w:tcBorders>
            <w:vAlign w:val="center"/>
            <w:hideMark/>
          </w:tcPr>
          <w:p w14:paraId="671AEEFF"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53" w:type="dxa"/>
            <w:tcBorders>
              <w:top w:val="nil"/>
              <w:left w:val="nil"/>
              <w:bottom w:val="single" w:sz="4" w:space="0" w:color="auto"/>
              <w:right w:val="single" w:sz="4" w:space="0" w:color="auto"/>
            </w:tcBorders>
            <w:shd w:val="clear" w:color="auto" w:fill="auto"/>
            <w:vAlign w:val="center"/>
            <w:hideMark/>
          </w:tcPr>
          <w:p w14:paraId="0F4F8E32" w14:textId="77777777" w:rsidR="00482B17" w:rsidRPr="00B334F7" w:rsidRDefault="00482B17" w:rsidP="00482B17">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46" w:type="dxa"/>
            <w:vMerge/>
            <w:tcBorders>
              <w:top w:val="nil"/>
              <w:left w:val="single" w:sz="4" w:space="0" w:color="auto"/>
              <w:bottom w:val="single" w:sz="4" w:space="0" w:color="auto"/>
              <w:right w:val="single" w:sz="4" w:space="0" w:color="auto"/>
            </w:tcBorders>
            <w:vAlign w:val="center"/>
            <w:hideMark/>
          </w:tcPr>
          <w:p w14:paraId="7A0EDAAB"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8" w:type="dxa"/>
            <w:vMerge/>
            <w:tcBorders>
              <w:top w:val="nil"/>
              <w:left w:val="single" w:sz="4" w:space="0" w:color="auto"/>
              <w:bottom w:val="single" w:sz="4" w:space="0" w:color="auto"/>
              <w:right w:val="single" w:sz="4" w:space="0" w:color="auto"/>
            </w:tcBorders>
            <w:vAlign w:val="center"/>
            <w:hideMark/>
          </w:tcPr>
          <w:p w14:paraId="26E7CF67"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8" w:type="dxa"/>
            <w:vMerge/>
            <w:tcBorders>
              <w:top w:val="nil"/>
              <w:left w:val="single" w:sz="4" w:space="0" w:color="auto"/>
              <w:bottom w:val="single" w:sz="4" w:space="0" w:color="auto"/>
              <w:right w:val="single" w:sz="4" w:space="0" w:color="auto"/>
            </w:tcBorders>
            <w:vAlign w:val="center"/>
            <w:hideMark/>
          </w:tcPr>
          <w:p w14:paraId="260C70DF" w14:textId="77777777" w:rsidR="00482B17" w:rsidRPr="00B334F7" w:rsidRDefault="00482B17" w:rsidP="00482B17">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85" w:type="dxa"/>
            <w:tcBorders>
              <w:top w:val="nil"/>
              <w:left w:val="nil"/>
              <w:bottom w:val="single" w:sz="4" w:space="0" w:color="auto"/>
              <w:right w:val="single" w:sz="4" w:space="0" w:color="auto"/>
            </w:tcBorders>
            <w:shd w:val="clear" w:color="auto" w:fill="auto"/>
            <w:noWrap/>
            <w:vAlign w:val="center"/>
            <w:hideMark/>
          </w:tcPr>
          <w:p w14:paraId="4652D54E"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Receiver blocked</w:t>
            </w:r>
          </w:p>
        </w:tc>
        <w:tc>
          <w:tcPr>
            <w:tcW w:w="814" w:type="dxa"/>
            <w:tcBorders>
              <w:top w:val="nil"/>
              <w:left w:val="nil"/>
              <w:bottom w:val="single" w:sz="4" w:space="0" w:color="auto"/>
              <w:right w:val="single" w:sz="4" w:space="0" w:color="auto"/>
            </w:tcBorders>
            <w:shd w:val="clear" w:color="auto" w:fill="auto"/>
            <w:noWrap/>
            <w:vAlign w:val="center"/>
            <w:hideMark/>
          </w:tcPr>
          <w:p w14:paraId="72CDF750"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12.14</w:t>
            </w:r>
          </w:p>
        </w:tc>
        <w:tc>
          <w:tcPr>
            <w:tcW w:w="82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2959A11"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32"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0446E7F" w14:textId="77777777" w:rsidR="00482B17" w:rsidRPr="00B334F7" w:rsidRDefault="00482B17" w:rsidP="00482B17">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50.1</w:t>
            </w:r>
          </w:p>
        </w:tc>
      </w:tr>
    </w:tbl>
    <w:p w14:paraId="33D18D6E" w14:textId="77777777" w:rsidR="00E63CA6" w:rsidRDefault="00E63CA6" w:rsidP="00EF7212">
      <w:pPr>
        <w:rPr>
          <w:b/>
          <w:bCs/>
        </w:rPr>
      </w:pPr>
    </w:p>
    <w:p w14:paraId="376DF1F9" w14:textId="77777777" w:rsidR="003D002A" w:rsidRDefault="003D002A" w:rsidP="003D002A">
      <w:r>
        <w:t>Based on the results presented, we conclude the following on the coexistence for this scenario and case:</w:t>
      </w:r>
    </w:p>
    <w:p w14:paraId="0FE8A850" w14:textId="0A10BF43" w:rsidR="003D002A" w:rsidRDefault="003D002A" w:rsidP="003D002A">
      <w:pPr>
        <w:rPr>
          <w:b/>
          <w:bCs/>
        </w:rPr>
      </w:pPr>
      <w:r w:rsidRPr="009D3E26">
        <w:rPr>
          <w:b/>
          <w:bCs/>
        </w:rPr>
        <w:t xml:space="preserve">Proposal </w:t>
      </w:r>
      <w:r w:rsidR="00161BA4">
        <w:rPr>
          <w:b/>
          <w:bCs/>
        </w:rPr>
        <w:t>8</w:t>
      </w:r>
      <w:r w:rsidRPr="009D3E26">
        <w:rPr>
          <w:b/>
          <w:bCs/>
        </w:rPr>
        <w:t xml:space="preserve">: </w:t>
      </w:r>
      <w:bookmarkStart w:id="25" w:name="_Hlk146691719"/>
      <w:r w:rsidR="00494231" w:rsidRPr="00D255A4">
        <w:rPr>
          <w:b/>
          <w:bCs/>
        </w:rPr>
        <w:t xml:space="preserve">The performance degradation for </w:t>
      </w:r>
      <w:r w:rsidR="00494231">
        <w:rPr>
          <w:b/>
          <w:bCs/>
        </w:rPr>
        <w:t xml:space="preserve">Urban Hotspot </w:t>
      </w:r>
      <w:r w:rsidR="00494231" w:rsidRPr="00D255A4">
        <w:rPr>
          <w:b/>
          <w:bCs/>
        </w:rPr>
        <w:t>Case 2 is not acceptable when SBFD is adopted</w:t>
      </w:r>
      <w:r w:rsidR="00494231">
        <w:rPr>
          <w:b/>
          <w:bCs/>
        </w:rPr>
        <w:t xml:space="preserve"> at the aggressor network. T</w:t>
      </w:r>
      <w:r w:rsidR="00494231" w:rsidRPr="00D255A4">
        <w:rPr>
          <w:b/>
          <w:bCs/>
        </w:rPr>
        <w:t>herefore, the operation on SBFD during TDD UL symbols/slots in the victim network is not recommended.</w:t>
      </w:r>
      <w:bookmarkEnd w:id="25"/>
    </w:p>
    <w:p w14:paraId="645DA274" w14:textId="77777777" w:rsidR="003D002A" w:rsidRDefault="003D002A" w:rsidP="00EF7212">
      <w:pPr>
        <w:rPr>
          <w:b/>
          <w:bCs/>
        </w:rPr>
      </w:pPr>
    </w:p>
    <w:p w14:paraId="6BC3B7A1" w14:textId="64B87E56" w:rsidR="00F93B04" w:rsidRDefault="00F93B04" w:rsidP="00F93B04">
      <w:pPr>
        <w:pStyle w:val="Heading4"/>
        <w:ind w:left="0" w:firstLine="0"/>
        <w:rPr>
          <w:lang w:val="en-US"/>
        </w:rPr>
      </w:pPr>
      <w:r w:rsidRPr="00FC6DDC">
        <w:rPr>
          <w:lang w:val="en-US"/>
        </w:rPr>
        <w:t>3.2.</w:t>
      </w:r>
      <w:r w:rsidR="00013DB8" w:rsidRPr="00FC6DDC">
        <w:rPr>
          <w:lang w:val="en-US"/>
        </w:rPr>
        <w:t>3</w:t>
      </w:r>
      <w:r w:rsidRPr="00FC6DDC">
        <w:rPr>
          <w:lang w:val="en-US"/>
        </w:rPr>
        <w:t xml:space="preserve"> Scenario 4: FR1 UMa-to-UMi</w:t>
      </w:r>
    </w:p>
    <w:p w14:paraId="020968B1" w14:textId="30231227" w:rsidR="00595F98" w:rsidRDefault="00014C64" w:rsidP="007E6482">
      <w:pPr>
        <w:rPr>
          <w:lang w:val="en-US"/>
        </w:rPr>
      </w:pPr>
      <w:r>
        <w:rPr>
          <w:lang w:val="en-US"/>
        </w:rPr>
        <w:fldChar w:fldCharType="begin"/>
      </w:r>
      <w:r>
        <w:rPr>
          <w:lang w:val="en-US"/>
        </w:rPr>
        <w:instrText xml:space="preserve"> REF _Ref146668850 \h </w:instrText>
      </w:r>
      <w:r>
        <w:rPr>
          <w:lang w:val="en-US"/>
        </w:rPr>
      </w:r>
      <w:r>
        <w:rPr>
          <w:lang w:val="en-US"/>
        </w:rPr>
        <w:fldChar w:fldCharType="separate"/>
      </w:r>
      <w:r w:rsidR="004D336C">
        <w:t xml:space="preserve">Figure </w:t>
      </w:r>
      <w:r w:rsidR="004D336C">
        <w:rPr>
          <w:noProof/>
        </w:rPr>
        <w:t>8</w:t>
      </w:r>
      <w:r>
        <w:rPr>
          <w:lang w:val="en-US"/>
        </w:rPr>
        <w:fldChar w:fldCharType="end"/>
      </w:r>
      <w:r w:rsidR="00CC4AF2">
        <w:rPr>
          <w:lang w:val="en-US"/>
        </w:rPr>
        <w:fldChar w:fldCharType="begin"/>
      </w:r>
      <w:r w:rsidR="00CC4AF2">
        <w:rPr>
          <w:lang w:val="en-US"/>
        </w:rPr>
        <w:instrText xml:space="preserve"> REF _Ref142665865 \h </w:instrText>
      </w:r>
      <w:r w:rsidR="00CC4AF2">
        <w:rPr>
          <w:lang w:val="en-US"/>
        </w:rPr>
      </w:r>
      <w:r w:rsidR="00CC4AF2">
        <w:rPr>
          <w:lang w:val="en-US"/>
        </w:rPr>
        <w:fldChar w:fldCharType="end"/>
      </w:r>
      <w:r w:rsidR="00CC4AF2">
        <w:rPr>
          <w:lang w:val="en-US"/>
        </w:rPr>
        <w:t xml:space="preserve"> </w:t>
      </w:r>
      <w:r w:rsidR="00EE3A75" w:rsidRPr="005B4A37">
        <w:rPr>
          <w:lang w:val="en-US"/>
        </w:rPr>
        <w:t xml:space="preserve">shows the </w:t>
      </w:r>
      <w:r w:rsidR="00EE3A75">
        <w:rPr>
          <w:lang w:val="en-US"/>
        </w:rPr>
        <w:t>victim U</w:t>
      </w:r>
      <w:r w:rsidR="00EE3A75" w:rsidRPr="005B4A37">
        <w:rPr>
          <w:lang w:val="en-US"/>
        </w:rPr>
        <w:t>L SINR at 5</w:t>
      </w:r>
      <w:r w:rsidR="00EE3A75" w:rsidRPr="00EF7212">
        <w:rPr>
          <w:vertAlign w:val="superscript"/>
          <w:lang w:val="en-US"/>
        </w:rPr>
        <w:t>th</w:t>
      </w:r>
      <w:r w:rsidR="00EE3A75" w:rsidRPr="005B4A37">
        <w:rPr>
          <w:lang w:val="en-US"/>
        </w:rPr>
        <w:t xml:space="preserve"> and 50</w:t>
      </w:r>
      <w:r w:rsidR="00EE3A75" w:rsidRPr="00EF7212">
        <w:rPr>
          <w:vertAlign w:val="superscript"/>
          <w:lang w:val="en-US"/>
        </w:rPr>
        <w:t>th</w:t>
      </w:r>
      <w:r w:rsidR="00EE3A75" w:rsidRPr="005B4A37">
        <w:rPr>
          <w:lang w:val="en-US"/>
        </w:rPr>
        <w:t xml:space="preserve"> percentiles </w:t>
      </w:r>
      <w:r w:rsidR="00EE3A75">
        <w:rPr>
          <w:lang w:val="en-US"/>
        </w:rPr>
        <w:t>and the victim UL throughput at 5</w:t>
      </w:r>
      <w:r w:rsidR="00EE3A75" w:rsidRPr="009703BE">
        <w:rPr>
          <w:vertAlign w:val="superscript"/>
          <w:lang w:val="en-US"/>
        </w:rPr>
        <w:t>th</w:t>
      </w:r>
      <w:r w:rsidR="00EE3A75">
        <w:rPr>
          <w:lang w:val="en-US"/>
        </w:rPr>
        <w:t xml:space="preserve"> percentile and average</w:t>
      </w:r>
      <w:r w:rsidR="00CC4AF2">
        <w:rPr>
          <w:lang w:val="en-US"/>
        </w:rPr>
        <w:t xml:space="preserve"> for</w:t>
      </w:r>
      <w:r w:rsidR="00CC4AF2" w:rsidRPr="005B4A37">
        <w:rPr>
          <w:lang w:val="en-US"/>
        </w:rPr>
        <w:t xml:space="preserve"> the cases where </w:t>
      </w:r>
      <w:r w:rsidR="00CC4AF2">
        <w:rPr>
          <w:lang w:val="en-US"/>
        </w:rPr>
        <w:t>TDD UL and SBFD are the aggressors and for different grid shift offsets</w:t>
      </w:r>
      <w:r w:rsidR="006F3271">
        <w:rPr>
          <w:lang w:val="en-US"/>
        </w:rPr>
        <w:t xml:space="preserve">, </w:t>
      </w:r>
      <w:r w:rsidR="00595F98">
        <w:rPr>
          <w:lang w:val="en-US"/>
        </w:rPr>
        <w:t>i.e.,</w:t>
      </w:r>
      <w:r w:rsidR="006F3271">
        <w:rPr>
          <w:lang w:val="en-US"/>
        </w:rPr>
        <w:t xml:space="preserve"> 100% and 10% grid offsets. </w:t>
      </w:r>
      <w:r w:rsidR="00391360">
        <w:rPr>
          <w:lang w:val="en-US"/>
        </w:rPr>
        <w:t>At the cell edge</w:t>
      </w:r>
      <w:r w:rsidR="00123DFD">
        <w:rPr>
          <w:lang w:val="en-US"/>
        </w:rPr>
        <w:t xml:space="preserve">, and even without ACI, the UL SINR is very </w:t>
      </w:r>
      <w:r w:rsidR="00733DFE">
        <w:rPr>
          <w:lang w:val="en-US"/>
        </w:rPr>
        <w:t>low,</w:t>
      </w:r>
      <w:r w:rsidR="00123DFD">
        <w:rPr>
          <w:lang w:val="en-US"/>
        </w:rPr>
        <w:t xml:space="preserve"> and the reported throughput is 0</w:t>
      </w:r>
      <w:r w:rsidR="006F13C6">
        <w:rPr>
          <w:lang w:val="en-US"/>
        </w:rPr>
        <w:t xml:space="preserve"> for all the considered cases</w:t>
      </w:r>
      <w:r w:rsidR="00123DFD">
        <w:rPr>
          <w:lang w:val="en-US"/>
        </w:rPr>
        <w:t>.</w:t>
      </w:r>
      <w:r w:rsidR="00A1390F">
        <w:rPr>
          <w:lang w:val="en-US"/>
        </w:rPr>
        <w:t xml:space="preserve"> I</w:t>
      </w:r>
      <w:r w:rsidR="00123DFD">
        <w:rPr>
          <w:lang w:val="en-US"/>
        </w:rPr>
        <w:t xml:space="preserve">t is worth mentioning that the </w:t>
      </w:r>
      <w:r w:rsidR="00733DFE">
        <w:rPr>
          <w:lang w:val="en-US"/>
        </w:rPr>
        <w:t xml:space="preserve">shown </w:t>
      </w:r>
      <w:r w:rsidR="00123DFD">
        <w:rPr>
          <w:lang w:val="en-US"/>
        </w:rPr>
        <w:t xml:space="preserve">configurations with SBFD </w:t>
      </w:r>
      <w:r w:rsidR="00733DFE">
        <w:rPr>
          <w:lang w:val="en-US"/>
        </w:rPr>
        <w:t xml:space="preserve">as aggressor </w:t>
      </w:r>
      <w:r w:rsidR="00A1390F">
        <w:rPr>
          <w:lang w:val="en-US"/>
        </w:rPr>
        <w:t>completely block the victim BS receiver at this percentile.</w:t>
      </w:r>
      <w:r w:rsidR="007E6482">
        <w:rPr>
          <w:lang w:val="en-US"/>
        </w:rPr>
        <w:t xml:space="preserve"> On the average and comparing SBFD with TDD, we note </w:t>
      </w:r>
      <w:r w:rsidR="002D2937">
        <w:rPr>
          <w:lang w:val="en-US"/>
        </w:rPr>
        <w:t xml:space="preserve">SBFD </w:t>
      </w:r>
      <w:r w:rsidR="009801F3">
        <w:rPr>
          <w:lang w:val="en-US"/>
        </w:rPr>
        <w:t xml:space="preserve">reports the highest degradation, clearly showing the </w:t>
      </w:r>
      <w:r w:rsidR="00595F98">
        <w:rPr>
          <w:lang w:val="en-US"/>
        </w:rPr>
        <w:t>impact of the BS-to-BS ACI.</w:t>
      </w:r>
      <w:r w:rsidR="00C505F4">
        <w:rPr>
          <w:lang w:val="en-US"/>
        </w:rPr>
        <w:t xml:space="preserve"> T</w:t>
      </w:r>
      <w:r w:rsidR="00595F98">
        <w:rPr>
          <w:lang w:val="en-US"/>
        </w:rPr>
        <w:t>his scenario assumes that the aggressor</w:t>
      </w:r>
      <w:r w:rsidR="00C505F4">
        <w:rPr>
          <w:lang w:val="en-US"/>
        </w:rPr>
        <w:t xml:space="preserve"> base stations are wide area base stations with very high power</w:t>
      </w:r>
      <w:r w:rsidR="00595F98">
        <w:rPr>
          <w:lang w:val="en-US"/>
        </w:rPr>
        <w:t xml:space="preserve">. </w:t>
      </w:r>
      <w:r w:rsidR="004A6F2C">
        <w:rPr>
          <w:lang w:val="en-US"/>
        </w:rPr>
        <w:t xml:space="preserve">On the comprising between the different grid offsets, </w:t>
      </w:r>
      <w:r w:rsidR="00595F98">
        <w:rPr>
          <w:lang w:val="en-US"/>
        </w:rPr>
        <w:t xml:space="preserve">we observe that 10% grid shift provides </w:t>
      </w:r>
      <w:r w:rsidR="00553E53">
        <w:rPr>
          <w:lang w:val="en-US"/>
        </w:rPr>
        <w:t>higher throughput</w:t>
      </w:r>
      <w:r w:rsidR="00595F98">
        <w:rPr>
          <w:lang w:val="en-US"/>
        </w:rPr>
        <w:t xml:space="preserve"> than 100% grid shift. This is due to the differences in the elevation angle between the micro base station (victim) and the macro base station (aggressor) during the beamforming calculation. The fact that they are closer (10% grid shift) implies that the elevation angle is larger and the coupling loss between base stations higher.</w:t>
      </w:r>
    </w:p>
    <w:p w14:paraId="1D00838D" w14:textId="77777777" w:rsidR="00595F98" w:rsidRDefault="00595F98" w:rsidP="00CC4AF2">
      <w:pPr>
        <w:rPr>
          <w:lang w:val="en-US"/>
        </w:rPr>
      </w:pPr>
    </w:p>
    <w:p w14:paraId="62D78003" w14:textId="77777777" w:rsidR="00EE3A75" w:rsidRDefault="00EE3A75" w:rsidP="00CC4AF2">
      <w:pPr>
        <w:rPr>
          <w:lang w:val="en-US"/>
        </w:rPr>
      </w:pPr>
    </w:p>
    <w:p w14:paraId="48B7246E" w14:textId="728B90F9" w:rsidR="00CC4AF2" w:rsidRDefault="00CC4AF2" w:rsidP="00CC4AF2">
      <w:pPr>
        <w:jc w:val="center"/>
        <w:rPr>
          <w:lang w:val="en-US"/>
        </w:rPr>
      </w:pPr>
    </w:p>
    <w:p w14:paraId="34FD624F" w14:textId="048A4E42" w:rsidR="00CC4AF2" w:rsidRDefault="00014C64" w:rsidP="00CC4AF2">
      <w:pPr>
        <w:keepNext/>
        <w:jc w:val="center"/>
      </w:pPr>
      <w:r w:rsidRPr="00014C64">
        <w:rPr>
          <w:noProof/>
        </w:rPr>
        <w:lastRenderedPageBreak/>
        <w:drawing>
          <wp:inline distT="0" distB="0" distL="0" distR="0" wp14:anchorId="491F6B41" wp14:editId="32FB884F">
            <wp:extent cx="5239909" cy="3458818"/>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rotWithShape="1">
                    <a:blip r:embed="rId20">
                      <a:extLst>
                        <a:ext uri="{28A0092B-C50C-407E-A947-70E740481C1C}">
                          <a14:useLocalDpi xmlns:a14="http://schemas.microsoft.com/office/drawing/2010/main" val="0"/>
                        </a:ext>
                      </a:extLst>
                    </a:blip>
                    <a:srcRect l="7020" t="2128" r="7288" b="5303"/>
                    <a:stretch/>
                  </pic:blipFill>
                  <pic:spPr bwMode="auto">
                    <a:xfrm>
                      <a:off x="0" y="0"/>
                      <a:ext cx="5240621" cy="3459288"/>
                    </a:xfrm>
                    <a:prstGeom prst="rect">
                      <a:avLst/>
                    </a:prstGeom>
                    <a:noFill/>
                    <a:ln>
                      <a:noFill/>
                    </a:ln>
                    <a:extLst>
                      <a:ext uri="{53640926-AAD7-44D8-BBD7-CCE9431645EC}">
                        <a14:shadowObscured xmlns:a14="http://schemas.microsoft.com/office/drawing/2010/main"/>
                      </a:ext>
                    </a:extLst>
                  </pic:spPr>
                </pic:pic>
              </a:graphicData>
            </a:graphic>
          </wp:inline>
        </w:drawing>
      </w:r>
    </w:p>
    <w:p w14:paraId="77B13C13" w14:textId="63A0D71E" w:rsidR="00CC4AF2" w:rsidRDefault="00CC4AF2" w:rsidP="00CC4AF2">
      <w:pPr>
        <w:pStyle w:val="Caption"/>
      </w:pPr>
      <w:bookmarkStart w:id="26" w:name="_Ref146668850"/>
      <w:r>
        <w:t xml:space="preserve">Figure </w:t>
      </w:r>
      <w:r>
        <w:fldChar w:fldCharType="begin"/>
      </w:r>
      <w:r>
        <w:instrText xml:space="preserve"> SEQ Figure \* ARABIC </w:instrText>
      </w:r>
      <w:r>
        <w:fldChar w:fldCharType="separate"/>
      </w:r>
      <w:r w:rsidR="004D336C">
        <w:rPr>
          <w:noProof/>
        </w:rPr>
        <w:t>8</w:t>
      </w:r>
      <w:r>
        <w:fldChar w:fldCharType="end"/>
      </w:r>
      <w:bookmarkEnd w:id="26"/>
      <w:r>
        <w:t>. Comparison of UL SINR and UL throughput at 5</w:t>
      </w:r>
      <w:r w:rsidRPr="00AC0748">
        <w:rPr>
          <w:vertAlign w:val="superscript"/>
        </w:rPr>
        <w:t>th</w:t>
      </w:r>
      <w:r>
        <w:t xml:space="preserve"> and 50</w:t>
      </w:r>
      <w:r w:rsidRPr="00AC0748">
        <w:rPr>
          <w:vertAlign w:val="superscript"/>
        </w:rPr>
        <w:t>th</w:t>
      </w:r>
      <w:r>
        <w:t xml:space="preserve"> percentiles for Case 2 UMa-UMi scenario</w:t>
      </w:r>
    </w:p>
    <w:p w14:paraId="655A9AC3" w14:textId="77777777" w:rsidR="00CC4AF2" w:rsidRDefault="00CC4AF2" w:rsidP="00CC4AF2">
      <w:pPr>
        <w:rPr>
          <w:lang w:val="en-US"/>
        </w:rPr>
      </w:pPr>
    </w:p>
    <w:p w14:paraId="36EC8534" w14:textId="4E407767" w:rsidR="00553E53" w:rsidRDefault="00F21E61" w:rsidP="00CC4AF2">
      <w:pPr>
        <w:rPr>
          <w:lang w:val="en-US"/>
        </w:rPr>
      </w:pPr>
      <w:r>
        <w:rPr>
          <w:lang w:val="en-US"/>
        </w:rPr>
        <w:t xml:space="preserve">In </w:t>
      </w:r>
      <w:r w:rsidR="0064762B">
        <w:rPr>
          <w:lang w:val="en-US"/>
        </w:rPr>
        <w:fldChar w:fldCharType="begin"/>
      </w:r>
      <w:r w:rsidR="0064762B">
        <w:rPr>
          <w:lang w:val="en-US"/>
        </w:rPr>
        <w:instrText xml:space="preserve"> REF _Ref146691903 \h </w:instrText>
      </w:r>
      <w:r w:rsidR="0064762B">
        <w:rPr>
          <w:lang w:val="en-US"/>
        </w:rPr>
      </w:r>
      <w:r w:rsidR="0064762B">
        <w:rPr>
          <w:lang w:val="en-US"/>
        </w:rPr>
        <w:fldChar w:fldCharType="separate"/>
      </w:r>
      <w:r w:rsidR="0064762B">
        <w:t xml:space="preserve">Table </w:t>
      </w:r>
      <w:r w:rsidR="0064762B">
        <w:rPr>
          <w:noProof/>
        </w:rPr>
        <w:t>8</w:t>
      </w:r>
      <w:r w:rsidR="0064762B">
        <w:rPr>
          <w:lang w:val="en-US"/>
        </w:rPr>
        <w:fldChar w:fldCharType="end"/>
      </w:r>
      <w:r w:rsidR="0064762B">
        <w:rPr>
          <w:lang w:val="en-US"/>
        </w:rPr>
        <w:t xml:space="preserve"> </w:t>
      </w:r>
      <w:r>
        <w:rPr>
          <w:lang w:val="en-US"/>
        </w:rPr>
        <w:t xml:space="preserve">we provide a performance summary this case. The main conclusion </w:t>
      </w:r>
      <w:r>
        <w:rPr>
          <w:lang w:val="en-US"/>
        </w:rPr>
        <w:fldChar w:fldCharType="begin"/>
      </w:r>
      <w:r>
        <w:rPr>
          <w:lang w:val="en-US"/>
        </w:rPr>
        <w:instrText xml:space="preserve"> REF _Ref146536979 \h </w:instrText>
      </w:r>
      <w:r>
        <w:rPr>
          <w:lang w:val="en-US"/>
        </w:rPr>
      </w:r>
      <w:r>
        <w:rPr>
          <w:lang w:val="en-US"/>
        </w:rPr>
        <w:fldChar w:fldCharType="end"/>
      </w:r>
      <w:r>
        <w:rPr>
          <w:lang w:val="en-US"/>
        </w:rPr>
        <w:t xml:space="preserve">is that SBFD degrades the TDD UL performance of the victim </w:t>
      </w:r>
      <w:r w:rsidR="00FF02F7">
        <w:rPr>
          <w:lang w:val="en-US"/>
        </w:rPr>
        <w:t xml:space="preserve">network </w:t>
      </w:r>
      <w:r>
        <w:rPr>
          <w:lang w:val="en-US"/>
        </w:rPr>
        <w:t xml:space="preserve">much more than TDD UL. </w:t>
      </w:r>
      <w:r w:rsidR="005A214D">
        <w:rPr>
          <w:lang w:val="en-US"/>
        </w:rPr>
        <w:t xml:space="preserve">The trends shown in the figure above remain valid for </w:t>
      </w:r>
      <w:r w:rsidR="009617B4">
        <w:rPr>
          <w:lang w:val="en-US"/>
        </w:rPr>
        <w:t>SBFD with antenna configuration option 1.</w:t>
      </w:r>
    </w:p>
    <w:p w14:paraId="0FC020CC" w14:textId="3D0129D1" w:rsidR="00F21E61" w:rsidRDefault="00F21E61" w:rsidP="00B334F7">
      <w:pPr>
        <w:pStyle w:val="Caption"/>
        <w:keepNext/>
      </w:pPr>
      <w:bookmarkStart w:id="27" w:name="_Ref146691903"/>
      <w:r>
        <w:t xml:space="preserve">Table </w:t>
      </w:r>
      <w:r>
        <w:fldChar w:fldCharType="begin"/>
      </w:r>
      <w:r>
        <w:instrText xml:space="preserve"> SEQ Table \* ARABIC </w:instrText>
      </w:r>
      <w:r>
        <w:fldChar w:fldCharType="separate"/>
      </w:r>
      <w:r w:rsidR="004D336C">
        <w:rPr>
          <w:noProof/>
        </w:rPr>
        <w:t>8</w:t>
      </w:r>
      <w:r>
        <w:fldChar w:fldCharType="end"/>
      </w:r>
      <w:bookmarkEnd w:id="27"/>
      <w:r>
        <w:t>. Performance summary for Case 2 UMa-to-UMi scenario</w:t>
      </w:r>
    </w:p>
    <w:tbl>
      <w:tblPr>
        <w:tblW w:w="10337" w:type="dxa"/>
        <w:tblLook w:val="04A0" w:firstRow="1" w:lastRow="0" w:firstColumn="1" w:lastColumn="0" w:noHBand="0" w:noVBand="1"/>
      </w:tblPr>
      <w:tblGrid>
        <w:gridCol w:w="790"/>
        <w:gridCol w:w="935"/>
        <w:gridCol w:w="828"/>
        <w:gridCol w:w="1175"/>
        <w:gridCol w:w="828"/>
        <w:gridCol w:w="875"/>
        <w:gridCol w:w="935"/>
        <w:gridCol w:w="1423"/>
        <w:gridCol w:w="822"/>
        <w:gridCol w:w="849"/>
        <w:gridCol w:w="859"/>
        <w:gridCol w:w="18"/>
        <w:tblGridChange w:id="28">
          <w:tblGrid>
            <w:gridCol w:w="790"/>
            <w:gridCol w:w="935"/>
            <w:gridCol w:w="828"/>
            <w:gridCol w:w="1175"/>
            <w:gridCol w:w="828"/>
            <w:gridCol w:w="875"/>
            <w:gridCol w:w="935"/>
            <w:gridCol w:w="1423"/>
            <w:gridCol w:w="822"/>
            <w:gridCol w:w="849"/>
            <w:gridCol w:w="859"/>
            <w:gridCol w:w="18"/>
          </w:tblGrid>
        </w:tblGridChange>
      </w:tblGrid>
      <w:tr w:rsidR="0064762B" w:rsidRPr="00A435AC" w14:paraId="692A0D8A" w14:textId="77777777" w:rsidTr="00B334F7">
        <w:trPr>
          <w:trHeight w:val="272"/>
        </w:trPr>
        <w:tc>
          <w:tcPr>
            <w:tcW w:w="10337"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B6B427"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4: FR1 UMa-to-UMi</w:t>
            </w:r>
            <w:r w:rsidRPr="00B334F7">
              <w:rPr>
                <w:rFonts w:ascii="Times New Roman" w:eastAsia="Times New Roman" w:hAnsi="Times New Roman" w:cs="Times New Roman"/>
                <w:b/>
                <w:bCs/>
                <w:sz w:val="16"/>
                <w:szCs w:val="16"/>
                <w:lang w:val="en-US"/>
              </w:rPr>
              <w:br/>
              <w:t>Case 2: TDD UL as victim</w:t>
            </w:r>
          </w:p>
        </w:tc>
      </w:tr>
      <w:tr w:rsidR="0064762B" w:rsidRPr="00A435AC" w14:paraId="73C02CCA" w14:textId="77777777" w:rsidTr="0064762B">
        <w:trPr>
          <w:gridAfter w:val="1"/>
          <w:wAfter w:w="14" w:type="dxa"/>
          <w:trHeight w:val="259"/>
        </w:trPr>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14:paraId="0D564B04"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935" w:type="dxa"/>
            <w:vMerge w:val="restart"/>
            <w:tcBorders>
              <w:top w:val="nil"/>
              <w:left w:val="single" w:sz="4" w:space="0" w:color="auto"/>
              <w:bottom w:val="single" w:sz="4" w:space="0" w:color="auto"/>
              <w:right w:val="single" w:sz="4" w:space="0" w:color="auto"/>
            </w:tcBorders>
            <w:shd w:val="clear" w:color="auto" w:fill="auto"/>
            <w:vAlign w:val="center"/>
            <w:hideMark/>
          </w:tcPr>
          <w:p w14:paraId="428890CD"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29" w:type="dxa"/>
            <w:vMerge w:val="restart"/>
            <w:tcBorders>
              <w:top w:val="nil"/>
              <w:left w:val="single" w:sz="4" w:space="0" w:color="auto"/>
              <w:bottom w:val="single" w:sz="4" w:space="0" w:color="auto"/>
              <w:right w:val="single" w:sz="4" w:space="0" w:color="auto"/>
            </w:tcBorders>
            <w:shd w:val="clear" w:color="auto" w:fill="auto"/>
            <w:vAlign w:val="center"/>
            <w:hideMark/>
          </w:tcPr>
          <w:p w14:paraId="0C27D2BB"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75" w:type="dxa"/>
            <w:vMerge w:val="restart"/>
            <w:tcBorders>
              <w:top w:val="nil"/>
              <w:left w:val="single" w:sz="4" w:space="0" w:color="auto"/>
              <w:bottom w:val="single" w:sz="4" w:space="0" w:color="auto"/>
              <w:right w:val="single" w:sz="4" w:space="0" w:color="auto"/>
            </w:tcBorders>
            <w:shd w:val="clear" w:color="auto" w:fill="auto"/>
            <w:vAlign w:val="center"/>
            <w:hideMark/>
          </w:tcPr>
          <w:p w14:paraId="6ECC03A2"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29" w:type="dxa"/>
            <w:vMerge w:val="restart"/>
            <w:tcBorders>
              <w:top w:val="nil"/>
              <w:left w:val="single" w:sz="4" w:space="0" w:color="auto"/>
              <w:bottom w:val="single" w:sz="4" w:space="0" w:color="auto"/>
              <w:right w:val="single" w:sz="4" w:space="0" w:color="auto"/>
            </w:tcBorders>
            <w:shd w:val="clear" w:color="auto" w:fill="auto"/>
            <w:vAlign w:val="center"/>
            <w:hideMark/>
          </w:tcPr>
          <w:p w14:paraId="23B4446E"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76" w:type="dxa"/>
            <w:vMerge w:val="restart"/>
            <w:tcBorders>
              <w:top w:val="nil"/>
              <w:left w:val="single" w:sz="4" w:space="0" w:color="auto"/>
              <w:bottom w:val="single" w:sz="4" w:space="0" w:color="auto"/>
              <w:right w:val="single" w:sz="4" w:space="0" w:color="auto"/>
            </w:tcBorders>
            <w:shd w:val="clear" w:color="auto" w:fill="auto"/>
            <w:vAlign w:val="center"/>
            <w:hideMark/>
          </w:tcPr>
          <w:p w14:paraId="55B1FD10"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35" w:type="dxa"/>
            <w:vMerge w:val="restart"/>
            <w:tcBorders>
              <w:top w:val="nil"/>
              <w:left w:val="single" w:sz="4" w:space="0" w:color="auto"/>
              <w:bottom w:val="single" w:sz="4" w:space="0" w:color="auto"/>
              <w:right w:val="single" w:sz="4" w:space="0" w:color="auto"/>
            </w:tcBorders>
            <w:shd w:val="clear" w:color="auto" w:fill="auto"/>
            <w:vAlign w:val="center"/>
            <w:hideMark/>
          </w:tcPr>
          <w:p w14:paraId="28462522"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22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0B466C"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7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995223"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64762B" w:rsidRPr="00A435AC" w14:paraId="555643D8" w14:textId="77777777" w:rsidTr="0064762B">
        <w:trPr>
          <w:gridAfter w:val="1"/>
          <w:wAfter w:w="14" w:type="dxa"/>
          <w:trHeight w:val="259"/>
        </w:trPr>
        <w:tc>
          <w:tcPr>
            <w:tcW w:w="791" w:type="dxa"/>
            <w:vMerge/>
            <w:tcBorders>
              <w:top w:val="nil"/>
              <w:left w:val="single" w:sz="4" w:space="0" w:color="auto"/>
              <w:bottom w:val="single" w:sz="4" w:space="0" w:color="auto"/>
              <w:right w:val="single" w:sz="4" w:space="0" w:color="auto"/>
            </w:tcBorders>
            <w:vAlign w:val="center"/>
            <w:hideMark/>
          </w:tcPr>
          <w:p w14:paraId="14CF25B3"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5" w:type="dxa"/>
            <w:vMerge/>
            <w:tcBorders>
              <w:top w:val="nil"/>
              <w:left w:val="single" w:sz="4" w:space="0" w:color="auto"/>
              <w:bottom w:val="single" w:sz="4" w:space="0" w:color="auto"/>
              <w:right w:val="single" w:sz="4" w:space="0" w:color="auto"/>
            </w:tcBorders>
            <w:vAlign w:val="center"/>
            <w:hideMark/>
          </w:tcPr>
          <w:p w14:paraId="69E5F301"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29" w:type="dxa"/>
            <w:vMerge/>
            <w:tcBorders>
              <w:top w:val="nil"/>
              <w:left w:val="single" w:sz="4" w:space="0" w:color="auto"/>
              <w:bottom w:val="single" w:sz="4" w:space="0" w:color="auto"/>
              <w:right w:val="single" w:sz="4" w:space="0" w:color="auto"/>
            </w:tcBorders>
            <w:vAlign w:val="center"/>
            <w:hideMark/>
          </w:tcPr>
          <w:p w14:paraId="35A8694C"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75" w:type="dxa"/>
            <w:vMerge/>
            <w:tcBorders>
              <w:top w:val="nil"/>
              <w:left w:val="single" w:sz="4" w:space="0" w:color="auto"/>
              <w:bottom w:val="single" w:sz="4" w:space="0" w:color="auto"/>
              <w:right w:val="single" w:sz="4" w:space="0" w:color="auto"/>
            </w:tcBorders>
            <w:vAlign w:val="center"/>
            <w:hideMark/>
          </w:tcPr>
          <w:p w14:paraId="18DC4CB9"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29" w:type="dxa"/>
            <w:vMerge/>
            <w:tcBorders>
              <w:top w:val="nil"/>
              <w:left w:val="single" w:sz="4" w:space="0" w:color="auto"/>
              <w:bottom w:val="single" w:sz="4" w:space="0" w:color="auto"/>
              <w:right w:val="single" w:sz="4" w:space="0" w:color="auto"/>
            </w:tcBorders>
            <w:vAlign w:val="center"/>
            <w:hideMark/>
          </w:tcPr>
          <w:p w14:paraId="56780CF4"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6" w:type="dxa"/>
            <w:vMerge/>
            <w:tcBorders>
              <w:top w:val="nil"/>
              <w:left w:val="single" w:sz="4" w:space="0" w:color="auto"/>
              <w:bottom w:val="single" w:sz="4" w:space="0" w:color="auto"/>
              <w:right w:val="single" w:sz="4" w:space="0" w:color="auto"/>
            </w:tcBorders>
            <w:vAlign w:val="center"/>
            <w:hideMark/>
          </w:tcPr>
          <w:p w14:paraId="5695CBE0"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5" w:type="dxa"/>
            <w:vMerge/>
            <w:tcBorders>
              <w:top w:val="nil"/>
              <w:left w:val="single" w:sz="4" w:space="0" w:color="auto"/>
              <w:bottom w:val="single" w:sz="4" w:space="0" w:color="auto"/>
              <w:right w:val="single" w:sz="4" w:space="0" w:color="auto"/>
            </w:tcBorders>
            <w:vAlign w:val="center"/>
            <w:hideMark/>
          </w:tcPr>
          <w:p w14:paraId="4BBB250B"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2245" w:type="dxa"/>
            <w:gridSpan w:val="2"/>
            <w:vMerge/>
            <w:tcBorders>
              <w:top w:val="single" w:sz="4" w:space="0" w:color="auto"/>
              <w:left w:val="single" w:sz="4" w:space="0" w:color="auto"/>
              <w:bottom w:val="single" w:sz="4" w:space="0" w:color="auto"/>
              <w:right w:val="single" w:sz="4" w:space="0" w:color="auto"/>
            </w:tcBorders>
            <w:vAlign w:val="center"/>
            <w:hideMark/>
          </w:tcPr>
          <w:p w14:paraId="6588FA93"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08" w:type="dxa"/>
            <w:gridSpan w:val="2"/>
            <w:vMerge/>
            <w:tcBorders>
              <w:top w:val="single" w:sz="4" w:space="0" w:color="auto"/>
              <w:left w:val="single" w:sz="4" w:space="0" w:color="auto"/>
              <w:bottom w:val="single" w:sz="4" w:space="0" w:color="auto"/>
              <w:right w:val="single" w:sz="4" w:space="0" w:color="auto"/>
            </w:tcBorders>
            <w:vAlign w:val="center"/>
            <w:hideMark/>
          </w:tcPr>
          <w:p w14:paraId="5301C29A"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64762B" w:rsidRPr="00A435AC" w14:paraId="44CCA1A9" w14:textId="77777777" w:rsidTr="0064762B">
        <w:trPr>
          <w:gridAfter w:val="1"/>
          <w:wAfter w:w="18" w:type="dxa"/>
          <w:trHeight w:val="259"/>
        </w:trPr>
        <w:tc>
          <w:tcPr>
            <w:tcW w:w="791" w:type="dxa"/>
            <w:vMerge/>
            <w:tcBorders>
              <w:top w:val="nil"/>
              <w:left w:val="single" w:sz="4" w:space="0" w:color="auto"/>
              <w:bottom w:val="single" w:sz="4" w:space="0" w:color="auto"/>
              <w:right w:val="single" w:sz="4" w:space="0" w:color="auto"/>
            </w:tcBorders>
            <w:vAlign w:val="center"/>
            <w:hideMark/>
          </w:tcPr>
          <w:p w14:paraId="11746562"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5" w:type="dxa"/>
            <w:vMerge/>
            <w:tcBorders>
              <w:top w:val="nil"/>
              <w:left w:val="single" w:sz="4" w:space="0" w:color="auto"/>
              <w:bottom w:val="single" w:sz="4" w:space="0" w:color="auto"/>
              <w:right w:val="single" w:sz="4" w:space="0" w:color="auto"/>
            </w:tcBorders>
            <w:vAlign w:val="center"/>
            <w:hideMark/>
          </w:tcPr>
          <w:p w14:paraId="39620CF6"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29" w:type="dxa"/>
            <w:vMerge/>
            <w:tcBorders>
              <w:top w:val="nil"/>
              <w:left w:val="single" w:sz="4" w:space="0" w:color="auto"/>
              <w:bottom w:val="single" w:sz="4" w:space="0" w:color="auto"/>
              <w:right w:val="single" w:sz="4" w:space="0" w:color="auto"/>
            </w:tcBorders>
            <w:vAlign w:val="center"/>
            <w:hideMark/>
          </w:tcPr>
          <w:p w14:paraId="0198183B"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75" w:type="dxa"/>
            <w:vMerge/>
            <w:tcBorders>
              <w:top w:val="nil"/>
              <w:left w:val="single" w:sz="4" w:space="0" w:color="auto"/>
              <w:bottom w:val="single" w:sz="4" w:space="0" w:color="auto"/>
              <w:right w:val="single" w:sz="4" w:space="0" w:color="auto"/>
            </w:tcBorders>
            <w:vAlign w:val="center"/>
            <w:hideMark/>
          </w:tcPr>
          <w:p w14:paraId="42E64143"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29" w:type="dxa"/>
            <w:vMerge/>
            <w:tcBorders>
              <w:top w:val="nil"/>
              <w:left w:val="single" w:sz="4" w:space="0" w:color="auto"/>
              <w:bottom w:val="single" w:sz="4" w:space="0" w:color="auto"/>
              <w:right w:val="single" w:sz="4" w:space="0" w:color="auto"/>
            </w:tcBorders>
            <w:vAlign w:val="center"/>
            <w:hideMark/>
          </w:tcPr>
          <w:p w14:paraId="1662792A"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6" w:type="dxa"/>
            <w:vMerge/>
            <w:tcBorders>
              <w:top w:val="nil"/>
              <w:left w:val="single" w:sz="4" w:space="0" w:color="auto"/>
              <w:bottom w:val="single" w:sz="4" w:space="0" w:color="auto"/>
              <w:right w:val="single" w:sz="4" w:space="0" w:color="auto"/>
            </w:tcBorders>
            <w:vAlign w:val="center"/>
            <w:hideMark/>
          </w:tcPr>
          <w:p w14:paraId="5ACF0CAF"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5" w:type="dxa"/>
            <w:vMerge/>
            <w:tcBorders>
              <w:top w:val="nil"/>
              <w:left w:val="single" w:sz="4" w:space="0" w:color="auto"/>
              <w:bottom w:val="single" w:sz="4" w:space="0" w:color="auto"/>
              <w:right w:val="single" w:sz="4" w:space="0" w:color="auto"/>
            </w:tcBorders>
            <w:vAlign w:val="center"/>
            <w:hideMark/>
          </w:tcPr>
          <w:p w14:paraId="542679E7"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423" w:type="dxa"/>
            <w:tcBorders>
              <w:top w:val="nil"/>
              <w:left w:val="nil"/>
              <w:bottom w:val="single" w:sz="4" w:space="0" w:color="auto"/>
              <w:right w:val="single" w:sz="4" w:space="0" w:color="auto"/>
            </w:tcBorders>
            <w:shd w:val="clear" w:color="auto" w:fill="auto"/>
            <w:vAlign w:val="center"/>
            <w:hideMark/>
          </w:tcPr>
          <w:p w14:paraId="631F7512"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20" w:type="dxa"/>
            <w:tcBorders>
              <w:top w:val="nil"/>
              <w:left w:val="nil"/>
              <w:bottom w:val="single" w:sz="4" w:space="0" w:color="auto"/>
              <w:right w:val="single" w:sz="4" w:space="0" w:color="auto"/>
            </w:tcBorders>
            <w:shd w:val="clear" w:color="auto" w:fill="auto"/>
            <w:vAlign w:val="center"/>
            <w:hideMark/>
          </w:tcPr>
          <w:p w14:paraId="48DB31CB"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49" w:type="dxa"/>
            <w:tcBorders>
              <w:top w:val="nil"/>
              <w:left w:val="nil"/>
              <w:bottom w:val="single" w:sz="4" w:space="0" w:color="auto"/>
              <w:right w:val="single" w:sz="4" w:space="0" w:color="auto"/>
            </w:tcBorders>
            <w:shd w:val="clear" w:color="auto" w:fill="auto"/>
            <w:vAlign w:val="center"/>
            <w:hideMark/>
          </w:tcPr>
          <w:p w14:paraId="1C12150F"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57" w:type="dxa"/>
            <w:tcBorders>
              <w:top w:val="nil"/>
              <w:left w:val="nil"/>
              <w:bottom w:val="single" w:sz="4" w:space="0" w:color="auto"/>
              <w:right w:val="single" w:sz="4" w:space="0" w:color="auto"/>
            </w:tcBorders>
            <w:shd w:val="clear" w:color="auto" w:fill="auto"/>
            <w:vAlign w:val="center"/>
            <w:hideMark/>
          </w:tcPr>
          <w:p w14:paraId="7CBEB1E5"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64762B" w:rsidRPr="00A435AC" w14:paraId="65D4FA10" w14:textId="77777777" w:rsidTr="0064762B">
        <w:trPr>
          <w:gridAfter w:val="1"/>
          <w:wAfter w:w="18" w:type="dxa"/>
          <w:trHeight w:val="259"/>
        </w:trPr>
        <w:tc>
          <w:tcPr>
            <w:tcW w:w="791" w:type="dxa"/>
            <w:tcBorders>
              <w:top w:val="nil"/>
              <w:left w:val="single" w:sz="4" w:space="0" w:color="auto"/>
              <w:bottom w:val="single" w:sz="4" w:space="0" w:color="auto"/>
              <w:right w:val="single" w:sz="4" w:space="0" w:color="auto"/>
            </w:tcBorders>
            <w:shd w:val="clear" w:color="auto" w:fill="auto"/>
            <w:vAlign w:val="center"/>
            <w:hideMark/>
          </w:tcPr>
          <w:p w14:paraId="59115813"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35" w:type="dxa"/>
            <w:vMerge w:val="restart"/>
            <w:tcBorders>
              <w:top w:val="nil"/>
              <w:left w:val="single" w:sz="4" w:space="0" w:color="auto"/>
              <w:bottom w:val="single" w:sz="4" w:space="0" w:color="auto"/>
              <w:right w:val="single" w:sz="4" w:space="0" w:color="auto"/>
            </w:tcBorders>
            <w:shd w:val="clear" w:color="auto" w:fill="auto"/>
            <w:vAlign w:val="center"/>
            <w:hideMark/>
          </w:tcPr>
          <w:p w14:paraId="096CC592"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UL</w:t>
            </w:r>
          </w:p>
        </w:tc>
        <w:tc>
          <w:tcPr>
            <w:tcW w:w="829" w:type="dxa"/>
            <w:vMerge w:val="restart"/>
            <w:tcBorders>
              <w:top w:val="nil"/>
              <w:left w:val="single" w:sz="4" w:space="0" w:color="auto"/>
              <w:bottom w:val="single" w:sz="4" w:space="0" w:color="000000"/>
              <w:right w:val="single" w:sz="4" w:space="0" w:color="auto"/>
            </w:tcBorders>
            <w:shd w:val="clear" w:color="auto" w:fill="auto"/>
            <w:vAlign w:val="center"/>
            <w:hideMark/>
          </w:tcPr>
          <w:p w14:paraId="2CE41E66"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UL</w:t>
            </w:r>
          </w:p>
        </w:tc>
        <w:tc>
          <w:tcPr>
            <w:tcW w:w="1175" w:type="dxa"/>
            <w:tcBorders>
              <w:top w:val="nil"/>
              <w:left w:val="nil"/>
              <w:bottom w:val="single" w:sz="4" w:space="0" w:color="auto"/>
              <w:right w:val="single" w:sz="4" w:space="0" w:color="auto"/>
            </w:tcBorders>
            <w:shd w:val="clear" w:color="auto" w:fill="auto"/>
            <w:vAlign w:val="center"/>
            <w:hideMark/>
          </w:tcPr>
          <w:p w14:paraId="466EF6E9"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29" w:type="dxa"/>
            <w:vMerge w:val="restart"/>
            <w:tcBorders>
              <w:top w:val="nil"/>
              <w:left w:val="single" w:sz="4" w:space="0" w:color="auto"/>
              <w:bottom w:val="single" w:sz="4" w:space="0" w:color="000000"/>
              <w:right w:val="single" w:sz="4" w:space="0" w:color="auto"/>
            </w:tcBorders>
            <w:shd w:val="clear" w:color="auto" w:fill="auto"/>
            <w:vAlign w:val="center"/>
            <w:hideMark/>
          </w:tcPr>
          <w:p w14:paraId="2A0329E7"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46 dBm</w:t>
            </w:r>
          </w:p>
        </w:tc>
        <w:tc>
          <w:tcPr>
            <w:tcW w:w="876" w:type="dxa"/>
            <w:vMerge w:val="restart"/>
            <w:tcBorders>
              <w:top w:val="nil"/>
              <w:left w:val="single" w:sz="4" w:space="0" w:color="auto"/>
              <w:bottom w:val="single" w:sz="4" w:space="0" w:color="auto"/>
              <w:right w:val="single" w:sz="4" w:space="0" w:color="auto"/>
            </w:tcBorders>
            <w:shd w:val="clear" w:color="auto" w:fill="auto"/>
            <w:vAlign w:val="center"/>
            <w:hideMark/>
          </w:tcPr>
          <w:p w14:paraId="566B53EA"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Enabled, without sub-band filtering</w:t>
            </w:r>
          </w:p>
        </w:tc>
        <w:tc>
          <w:tcPr>
            <w:tcW w:w="935" w:type="dxa"/>
            <w:vMerge w:val="restart"/>
            <w:tcBorders>
              <w:top w:val="nil"/>
              <w:left w:val="single" w:sz="4" w:space="0" w:color="auto"/>
              <w:bottom w:val="single" w:sz="4" w:space="0" w:color="000000"/>
              <w:right w:val="single" w:sz="4" w:space="0" w:color="auto"/>
            </w:tcBorders>
            <w:shd w:val="clear" w:color="auto" w:fill="auto"/>
            <w:vAlign w:val="center"/>
            <w:hideMark/>
          </w:tcPr>
          <w:p w14:paraId="6E7F1F68"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53 dBm</w:t>
            </w:r>
          </w:p>
        </w:tc>
        <w:tc>
          <w:tcPr>
            <w:tcW w:w="1423" w:type="dxa"/>
            <w:tcBorders>
              <w:top w:val="nil"/>
              <w:left w:val="nil"/>
              <w:bottom w:val="single" w:sz="4" w:space="0" w:color="auto"/>
              <w:right w:val="single" w:sz="4" w:space="0" w:color="auto"/>
            </w:tcBorders>
            <w:shd w:val="clear" w:color="auto" w:fill="auto"/>
            <w:noWrap/>
            <w:vAlign w:val="center"/>
            <w:hideMark/>
          </w:tcPr>
          <w:p w14:paraId="1DE4CC19"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0.37</w:t>
            </w:r>
          </w:p>
        </w:tc>
        <w:tc>
          <w:tcPr>
            <w:tcW w:w="820" w:type="dxa"/>
            <w:tcBorders>
              <w:top w:val="nil"/>
              <w:left w:val="nil"/>
              <w:bottom w:val="single" w:sz="4" w:space="0" w:color="auto"/>
              <w:right w:val="single" w:sz="4" w:space="0" w:color="auto"/>
            </w:tcBorders>
            <w:shd w:val="clear" w:color="auto" w:fill="auto"/>
            <w:noWrap/>
            <w:vAlign w:val="center"/>
            <w:hideMark/>
          </w:tcPr>
          <w:p w14:paraId="6D76A389"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0.01</w:t>
            </w:r>
          </w:p>
        </w:tc>
        <w:tc>
          <w:tcPr>
            <w:tcW w:w="84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B6CB168"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57" w:type="dxa"/>
            <w:tcBorders>
              <w:top w:val="nil"/>
              <w:left w:val="nil"/>
              <w:bottom w:val="single" w:sz="4" w:space="0" w:color="auto"/>
              <w:right w:val="single" w:sz="4" w:space="0" w:color="auto"/>
            </w:tcBorders>
            <w:shd w:val="clear" w:color="auto" w:fill="auto"/>
            <w:noWrap/>
            <w:vAlign w:val="center"/>
            <w:hideMark/>
          </w:tcPr>
          <w:p w14:paraId="13DEDFB1"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0.35</w:t>
            </w:r>
          </w:p>
        </w:tc>
      </w:tr>
      <w:tr w:rsidR="0064762B" w:rsidRPr="00A435AC" w14:paraId="7A439317" w14:textId="77777777" w:rsidTr="0064762B">
        <w:trPr>
          <w:gridAfter w:val="1"/>
          <w:wAfter w:w="18" w:type="dxa"/>
          <w:trHeight w:val="259"/>
        </w:trPr>
        <w:tc>
          <w:tcPr>
            <w:tcW w:w="791" w:type="dxa"/>
            <w:tcBorders>
              <w:top w:val="nil"/>
              <w:left w:val="single" w:sz="4" w:space="0" w:color="auto"/>
              <w:bottom w:val="single" w:sz="4" w:space="0" w:color="auto"/>
              <w:right w:val="single" w:sz="4" w:space="0" w:color="auto"/>
            </w:tcBorders>
            <w:shd w:val="clear" w:color="auto" w:fill="auto"/>
            <w:vAlign w:val="center"/>
            <w:hideMark/>
          </w:tcPr>
          <w:p w14:paraId="1DB92B7E"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35" w:type="dxa"/>
            <w:vMerge/>
            <w:tcBorders>
              <w:top w:val="nil"/>
              <w:left w:val="single" w:sz="4" w:space="0" w:color="auto"/>
              <w:bottom w:val="single" w:sz="4" w:space="0" w:color="auto"/>
              <w:right w:val="single" w:sz="4" w:space="0" w:color="auto"/>
            </w:tcBorders>
            <w:vAlign w:val="center"/>
            <w:hideMark/>
          </w:tcPr>
          <w:p w14:paraId="63C64E66"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29" w:type="dxa"/>
            <w:vMerge/>
            <w:tcBorders>
              <w:top w:val="nil"/>
              <w:left w:val="single" w:sz="4" w:space="0" w:color="auto"/>
              <w:bottom w:val="single" w:sz="4" w:space="0" w:color="000000"/>
              <w:right w:val="single" w:sz="4" w:space="0" w:color="auto"/>
            </w:tcBorders>
            <w:vAlign w:val="center"/>
            <w:hideMark/>
          </w:tcPr>
          <w:p w14:paraId="49BA7FC9"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75" w:type="dxa"/>
            <w:tcBorders>
              <w:top w:val="nil"/>
              <w:left w:val="nil"/>
              <w:bottom w:val="single" w:sz="4" w:space="0" w:color="auto"/>
              <w:right w:val="single" w:sz="4" w:space="0" w:color="auto"/>
            </w:tcBorders>
            <w:shd w:val="clear" w:color="auto" w:fill="auto"/>
            <w:vAlign w:val="center"/>
            <w:hideMark/>
          </w:tcPr>
          <w:p w14:paraId="12C52EF8"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29" w:type="dxa"/>
            <w:vMerge/>
            <w:tcBorders>
              <w:top w:val="nil"/>
              <w:left w:val="single" w:sz="4" w:space="0" w:color="auto"/>
              <w:bottom w:val="single" w:sz="4" w:space="0" w:color="000000"/>
              <w:right w:val="single" w:sz="4" w:space="0" w:color="auto"/>
            </w:tcBorders>
            <w:vAlign w:val="center"/>
            <w:hideMark/>
          </w:tcPr>
          <w:p w14:paraId="31A7979E"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6" w:type="dxa"/>
            <w:vMerge/>
            <w:tcBorders>
              <w:top w:val="nil"/>
              <w:left w:val="single" w:sz="4" w:space="0" w:color="auto"/>
              <w:bottom w:val="single" w:sz="4" w:space="0" w:color="auto"/>
              <w:right w:val="single" w:sz="4" w:space="0" w:color="auto"/>
            </w:tcBorders>
            <w:vAlign w:val="center"/>
            <w:hideMark/>
          </w:tcPr>
          <w:p w14:paraId="057052BB"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5" w:type="dxa"/>
            <w:vMerge/>
            <w:tcBorders>
              <w:top w:val="nil"/>
              <w:left w:val="single" w:sz="4" w:space="0" w:color="auto"/>
              <w:bottom w:val="single" w:sz="4" w:space="0" w:color="000000"/>
              <w:right w:val="single" w:sz="4" w:space="0" w:color="auto"/>
            </w:tcBorders>
            <w:vAlign w:val="center"/>
            <w:hideMark/>
          </w:tcPr>
          <w:p w14:paraId="41228A9A"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423" w:type="dxa"/>
            <w:tcBorders>
              <w:top w:val="nil"/>
              <w:left w:val="nil"/>
              <w:bottom w:val="single" w:sz="4" w:space="0" w:color="auto"/>
              <w:right w:val="single" w:sz="4" w:space="0" w:color="auto"/>
            </w:tcBorders>
            <w:shd w:val="clear" w:color="auto" w:fill="auto"/>
            <w:noWrap/>
            <w:vAlign w:val="center"/>
            <w:hideMark/>
          </w:tcPr>
          <w:p w14:paraId="652C1866"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w:t>
            </w:r>
          </w:p>
        </w:tc>
        <w:tc>
          <w:tcPr>
            <w:tcW w:w="820" w:type="dxa"/>
            <w:tcBorders>
              <w:top w:val="nil"/>
              <w:left w:val="nil"/>
              <w:bottom w:val="single" w:sz="4" w:space="0" w:color="auto"/>
              <w:right w:val="single" w:sz="4" w:space="0" w:color="auto"/>
            </w:tcBorders>
            <w:shd w:val="clear" w:color="auto" w:fill="auto"/>
            <w:noWrap/>
            <w:vAlign w:val="center"/>
            <w:hideMark/>
          </w:tcPr>
          <w:p w14:paraId="67B0F4D1"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w:t>
            </w:r>
          </w:p>
        </w:tc>
        <w:tc>
          <w:tcPr>
            <w:tcW w:w="84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AACE81F"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57" w:type="dxa"/>
            <w:tcBorders>
              <w:top w:val="nil"/>
              <w:left w:val="nil"/>
              <w:bottom w:val="single" w:sz="4" w:space="0" w:color="auto"/>
              <w:right w:val="single" w:sz="4" w:space="0" w:color="auto"/>
            </w:tcBorders>
            <w:shd w:val="clear" w:color="auto" w:fill="auto"/>
            <w:noWrap/>
            <w:vAlign w:val="center"/>
            <w:hideMark/>
          </w:tcPr>
          <w:p w14:paraId="265199D9"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0.04</w:t>
            </w:r>
          </w:p>
        </w:tc>
      </w:tr>
      <w:tr w:rsidR="0064762B" w:rsidRPr="006423DF" w14:paraId="11748D17" w14:textId="77777777" w:rsidTr="0064762B">
        <w:trPr>
          <w:gridAfter w:val="1"/>
          <w:wAfter w:w="18" w:type="dxa"/>
          <w:trHeight w:val="663"/>
        </w:trPr>
        <w:tc>
          <w:tcPr>
            <w:tcW w:w="791" w:type="dxa"/>
            <w:tcBorders>
              <w:top w:val="nil"/>
              <w:left w:val="single" w:sz="4" w:space="0" w:color="auto"/>
              <w:bottom w:val="single" w:sz="4" w:space="0" w:color="auto"/>
              <w:right w:val="single" w:sz="4" w:space="0" w:color="auto"/>
            </w:tcBorders>
            <w:shd w:val="clear" w:color="auto" w:fill="auto"/>
            <w:vAlign w:val="center"/>
            <w:hideMark/>
          </w:tcPr>
          <w:p w14:paraId="03B334A4"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35" w:type="dxa"/>
            <w:vMerge w:val="restart"/>
            <w:tcBorders>
              <w:top w:val="nil"/>
              <w:left w:val="single" w:sz="4" w:space="0" w:color="auto"/>
              <w:bottom w:val="single" w:sz="4" w:space="0" w:color="auto"/>
              <w:right w:val="single" w:sz="4" w:space="0" w:color="auto"/>
            </w:tcBorders>
            <w:shd w:val="clear" w:color="auto" w:fill="auto"/>
            <w:vAlign w:val="center"/>
            <w:hideMark/>
          </w:tcPr>
          <w:p w14:paraId="0CF72E0E"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w:t>
            </w:r>
          </w:p>
        </w:tc>
        <w:tc>
          <w:tcPr>
            <w:tcW w:w="829" w:type="dxa"/>
            <w:vMerge/>
            <w:tcBorders>
              <w:top w:val="nil"/>
              <w:left w:val="single" w:sz="4" w:space="0" w:color="auto"/>
              <w:bottom w:val="single" w:sz="4" w:space="0" w:color="000000"/>
              <w:right w:val="single" w:sz="4" w:space="0" w:color="auto"/>
            </w:tcBorders>
            <w:vAlign w:val="center"/>
            <w:hideMark/>
          </w:tcPr>
          <w:p w14:paraId="01AE8497"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75" w:type="dxa"/>
            <w:tcBorders>
              <w:top w:val="nil"/>
              <w:left w:val="nil"/>
              <w:bottom w:val="single" w:sz="4" w:space="0" w:color="auto"/>
              <w:right w:val="single" w:sz="4" w:space="0" w:color="auto"/>
            </w:tcBorders>
            <w:shd w:val="clear" w:color="auto" w:fill="auto"/>
            <w:vAlign w:val="center"/>
            <w:hideMark/>
          </w:tcPr>
          <w:p w14:paraId="1F213C7F"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29" w:type="dxa"/>
            <w:vMerge/>
            <w:tcBorders>
              <w:top w:val="nil"/>
              <w:left w:val="single" w:sz="4" w:space="0" w:color="auto"/>
              <w:bottom w:val="single" w:sz="4" w:space="0" w:color="000000"/>
              <w:right w:val="single" w:sz="4" w:space="0" w:color="auto"/>
            </w:tcBorders>
            <w:vAlign w:val="center"/>
            <w:hideMark/>
          </w:tcPr>
          <w:p w14:paraId="591A8AFC"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6" w:type="dxa"/>
            <w:vMerge/>
            <w:tcBorders>
              <w:top w:val="nil"/>
              <w:left w:val="single" w:sz="4" w:space="0" w:color="auto"/>
              <w:bottom w:val="single" w:sz="4" w:space="0" w:color="auto"/>
              <w:right w:val="single" w:sz="4" w:space="0" w:color="auto"/>
            </w:tcBorders>
            <w:vAlign w:val="center"/>
            <w:hideMark/>
          </w:tcPr>
          <w:p w14:paraId="6A52D4E3"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5" w:type="dxa"/>
            <w:vMerge w:val="restart"/>
            <w:tcBorders>
              <w:top w:val="nil"/>
              <w:left w:val="single" w:sz="4" w:space="0" w:color="auto"/>
              <w:bottom w:val="single" w:sz="4" w:space="0" w:color="000000"/>
              <w:right w:val="single" w:sz="4" w:space="0" w:color="auto"/>
            </w:tcBorders>
            <w:shd w:val="clear" w:color="auto" w:fill="auto"/>
            <w:vAlign w:val="center"/>
            <w:hideMark/>
          </w:tcPr>
          <w:p w14:paraId="06BE0586"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50 dBm</w:t>
            </w:r>
          </w:p>
        </w:tc>
        <w:tc>
          <w:tcPr>
            <w:tcW w:w="1423" w:type="dxa"/>
            <w:tcBorders>
              <w:top w:val="nil"/>
              <w:left w:val="nil"/>
              <w:bottom w:val="single" w:sz="4" w:space="0" w:color="auto"/>
              <w:right w:val="single" w:sz="4" w:space="0" w:color="auto"/>
            </w:tcBorders>
            <w:shd w:val="clear" w:color="auto" w:fill="auto"/>
            <w:noWrap/>
            <w:vAlign w:val="center"/>
            <w:hideMark/>
          </w:tcPr>
          <w:p w14:paraId="42E69F3A"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14.45</w:t>
            </w:r>
          </w:p>
        </w:tc>
        <w:tc>
          <w:tcPr>
            <w:tcW w:w="820" w:type="dxa"/>
            <w:tcBorders>
              <w:top w:val="nil"/>
              <w:left w:val="nil"/>
              <w:bottom w:val="single" w:sz="4" w:space="0" w:color="auto"/>
              <w:right w:val="single" w:sz="4" w:space="0" w:color="auto"/>
            </w:tcBorders>
            <w:shd w:val="clear" w:color="auto" w:fill="auto"/>
            <w:noWrap/>
            <w:vAlign w:val="center"/>
            <w:hideMark/>
          </w:tcPr>
          <w:p w14:paraId="24773ABB"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5.87</w:t>
            </w:r>
          </w:p>
        </w:tc>
        <w:tc>
          <w:tcPr>
            <w:tcW w:w="84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D14D66D"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5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372D9CD"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38.77</w:t>
            </w:r>
          </w:p>
        </w:tc>
      </w:tr>
      <w:tr w:rsidR="0064762B" w:rsidRPr="006423DF" w14:paraId="3EC34C47" w14:textId="77777777" w:rsidTr="0064762B">
        <w:trPr>
          <w:gridAfter w:val="1"/>
          <w:wAfter w:w="18" w:type="dxa"/>
          <w:trHeight w:val="663"/>
        </w:trPr>
        <w:tc>
          <w:tcPr>
            <w:tcW w:w="791" w:type="dxa"/>
            <w:tcBorders>
              <w:top w:val="nil"/>
              <w:left w:val="single" w:sz="4" w:space="0" w:color="auto"/>
              <w:bottom w:val="single" w:sz="4" w:space="0" w:color="auto"/>
              <w:right w:val="single" w:sz="4" w:space="0" w:color="auto"/>
            </w:tcBorders>
            <w:shd w:val="clear" w:color="auto" w:fill="auto"/>
            <w:vAlign w:val="center"/>
            <w:hideMark/>
          </w:tcPr>
          <w:p w14:paraId="742149A9"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35" w:type="dxa"/>
            <w:vMerge/>
            <w:tcBorders>
              <w:top w:val="nil"/>
              <w:left w:val="single" w:sz="4" w:space="0" w:color="auto"/>
              <w:bottom w:val="single" w:sz="4" w:space="0" w:color="auto"/>
              <w:right w:val="single" w:sz="4" w:space="0" w:color="auto"/>
            </w:tcBorders>
            <w:vAlign w:val="center"/>
            <w:hideMark/>
          </w:tcPr>
          <w:p w14:paraId="3C13CC76"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29" w:type="dxa"/>
            <w:vMerge/>
            <w:tcBorders>
              <w:top w:val="nil"/>
              <w:left w:val="single" w:sz="4" w:space="0" w:color="auto"/>
              <w:bottom w:val="single" w:sz="4" w:space="0" w:color="000000"/>
              <w:right w:val="single" w:sz="4" w:space="0" w:color="auto"/>
            </w:tcBorders>
            <w:vAlign w:val="center"/>
            <w:hideMark/>
          </w:tcPr>
          <w:p w14:paraId="5E978C47"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75" w:type="dxa"/>
            <w:tcBorders>
              <w:top w:val="nil"/>
              <w:left w:val="nil"/>
              <w:bottom w:val="single" w:sz="4" w:space="0" w:color="auto"/>
              <w:right w:val="single" w:sz="4" w:space="0" w:color="auto"/>
            </w:tcBorders>
            <w:shd w:val="clear" w:color="auto" w:fill="auto"/>
            <w:vAlign w:val="center"/>
            <w:hideMark/>
          </w:tcPr>
          <w:p w14:paraId="76ED6F95"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29" w:type="dxa"/>
            <w:vMerge/>
            <w:tcBorders>
              <w:top w:val="nil"/>
              <w:left w:val="single" w:sz="4" w:space="0" w:color="auto"/>
              <w:bottom w:val="single" w:sz="4" w:space="0" w:color="000000"/>
              <w:right w:val="single" w:sz="4" w:space="0" w:color="auto"/>
            </w:tcBorders>
            <w:vAlign w:val="center"/>
            <w:hideMark/>
          </w:tcPr>
          <w:p w14:paraId="0DDEA7A2"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6" w:type="dxa"/>
            <w:vMerge/>
            <w:tcBorders>
              <w:top w:val="nil"/>
              <w:left w:val="single" w:sz="4" w:space="0" w:color="auto"/>
              <w:bottom w:val="single" w:sz="4" w:space="0" w:color="auto"/>
              <w:right w:val="single" w:sz="4" w:space="0" w:color="auto"/>
            </w:tcBorders>
            <w:vAlign w:val="center"/>
            <w:hideMark/>
          </w:tcPr>
          <w:p w14:paraId="31D1B91C"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5" w:type="dxa"/>
            <w:vMerge/>
            <w:tcBorders>
              <w:top w:val="nil"/>
              <w:left w:val="single" w:sz="4" w:space="0" w:color="auto"/>
              <w:bottom w:val="single" w:sz="4" w:space="0" w:color="000000"/>
              <w:right w:val="single" w:sz="4" w:space="0" w:color="auto"/>
            </w:tcBorders>
            <w:vAlign w:val="center"/>
            <w:hideMark/>
          </w:tcPr>
          <w:p w14:paraId="55B7370B"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423" w:type="dxa"/>
            <w:tcBorders>
              <w:top w:val="nil"/>
              <w:left w:val="nil"/>
              <w:bottom w:val="single" w:sz="4" w:space="0" w:color="auto"/>
              <w:right w:val="single" w:sz="4" w:space="0" w:color="auto"/>
            </w:tcBorders>
            <w:shd w:val="clear" w:color="auto" w:fill="auto"/>
            <w:noWrap/>
            <w:vAlign w:val="center"/>
            <w:hideMark/>
          </w:tcPr>
          <w:p w14:paraId="70C792F6"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14.52</w:t>
            </w:r>
          </w:p>
        </w:tc>
        <w:tc>
          <w:tcPr>
            <w:tcW w:w="820" w:type="dxa"/>
            <w:tcBorders>
              <w:top w:val="nil"/>
              <w:left w:val="nil"/>
              <w:bottom w:val="single" w:sz="4" w:space="0" w:color="auto"/>
              <w:right w:val="single" w:sz="4" w:space="0" w:color="auto"/>
            </w:tcBorders>
            <w:shd w:val="clear" w:color="auto" w:fill="auto"/>
            <w:noWrap/>
            <w:vAlign w:val="center"/>
            <w:hideMark/>
          </w:tcPr>
          <w:p w14:paraId="335DCBC6"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1.33</w:t>
            </w:r>
          </w:p>
        </w:tc>
        <w:tc>
          <w:tcPr>
            <w:tcW w:w="84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05F2DB1"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5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E68B312"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10.49</w:t>
            </w:r>
          </w:p>
        </w:tc>
      </w:tr>
      <w:tr w:rsidR="0064762B" w:rsidRPr="006423DF" w14:paraId="6244E058" w14:textId="77777777" w:rsidTr="0064762B">
        <w:trPr>
          <w:gridAfter w:val="1"/>
          <w:wAfter w:w="18" w:type="dxa"/>
          <w:trHeight w:val="663"/>
        </w:trPr>
        <w:tc>
          <w:tcPr>
            <w:tcW w:w="791" w:type="dxa"/>
            <w:tcBorders>
              <w:top w:val="nil"/>
              <w:left w:val="single" w:sz="4" w:space="0" w:color="auto"/>
              <w:bottom w:val="single" w:sz="4" w:space="0" w:color="auto"/>
              <w:right w:val="single" w:sz="4" w:space="0" w:color="auto"/>
            </w:tcBorders>
            <w:shd w:val="clear" w:color="auto" w:fill="auto"/>
            <w:vAlign w:val="center"/>
            <w:hideMark/>
          </w:tcPr>
          <w:p w14:paraId="6C6398E0"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35" w:type="dxa"/>
            <w:vMerge w:val="restart"/>
            <w:tcBorders>
              <w:top w:val="nil"/>
              <w:left w:val="single" w:sz="4" w:space="0" w:color="auto"/>
              <w:bottom w:val="single" w:sz="4" w:space="0" w:color="auto"/>
              <w:right w:val="single" w:sz="4" w:space="0" w:color="auto"/>
            </w:tcBorders>
            <w:shd w:val="clear" w:color="auto" w:fill="auto"/>
            <w:vAlign w:val="center"/>
            <w:hideMark/>
          </w:tcPr>
          <w:p w14:paraId="43ECCC33"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w:t>
            </w:r>
          </w:p>
        </w:tc>
        <w:tc>
          <w:tcPr>
            <w:tcW w:w="829" w:type="dxa"/>
            <w:vMerge/>
            <w:tcBorders>
              <w:top w:val="nil"/>
              <w:left w:val="single" w:sz="4" w:space="0" w:color="auto"/>
              <w:bottom w:val="single" w:sz="4" w:space="0" w:color="000000"/>
              <w:right w:val="single" w:sz="4" w:space="0" w:color="auto"/>
            </w:tcBorders>
            <w:vAlign w:val="center"/>
            <w:hideMark/>
          </w:tcPr>
          <w:p w14:paraId="6E62A00F"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75" w:type="dxa"/>
            <w:tcBorders>
              <w:top w:val="nil"/>
              <w:left w:val="nil"/>
              <w:bottom w:val="single" w:sz="4" w:space="0" w:color="auto"/>
              <w:right w:val="single" w:sz="4" w:space="0" w:color="auto"/>
            </w:tcBorders>
            <w:shd w:val="clear" w:color="auto" w:fill="auto"/>
            <w:vAlign w:val="center"/>
            <w:hideMark/>
          </w:tcPr>
          <w:p w14:paraId="58A34FFE"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29" w:type="dxa"/>
            <w:vMerge/>
            <w:tcBorders>
              <w:top w:val="nil"/>
              <w:left w:val="single" w:sz="4" w:space="0" w:color="auto"/>
              <w:bottom w:val="single" w:sz="4" w:space="0" w:color="000000"/>
              <w:right w:val="single" w:sz="4" w:space="0" w:color="auto"/>
            </w:tcBorders>
            <w:vAlign w:val="center"/>
            <w:hideMark/>
          </w:tcPr>
          <w:p w14:paraId="0C409686"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6" w:type="dxa"/>
            <w:vMerge/>
            <w:tcBorders>
              <w:top w:val="nil"/>
              <w:left w:val="single" w:sz="4" w:space="0" w:color="auto"/>
              <w:bottom w:val="single" w:sz="4" w:space="0" w:color="auto"/>
              <w:right w:val="single" w:sz="4" w:space="0" w:color="auto"/>
            </w:tcBorders>
            <w:vAlign w:val="center"/>
            <w:hideMark/>
          </w:tcPr>
          <w:p w14:paraId="24DB3E97"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5" w:type="dxa"/>
            <w:vMerge w:val="restart"/>
            <w:tcBorders>
              <w:top w:val="nil"/>
              <w:left w:val="single" w:sz="4" w:space="0" w:color="auto"/>
              <w:bottom w:val="single" w:sz="4" w:space="0" w:color="000000"/>
              <w:right w:val="single" w:sz="4" w:space="0" w:color="auto"/>
            </w:tcBorders>
            <w:shd w:val="clear" w:color="auto" w:fill="auto"/>
            <w:vAlign w:val="center"/>
            <w:hideMark/>
          </w:tcPr>
          <w:p w14:paraId="09FCEB45"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53 dBm</w:t>
            </w:r>
          </w:p>
        </w:tc>
        <w:tc>
          <w:tcPr>
            <w:tcW w:w="1423" w:type="dxa"/>
            <w:tcBorders>
              <w:top w:val="nil"/>
              <w:left w:val="nil"/>
              <w:bottom w:val="single" w:sz="4" w:space="0" w:color="auto"/>
              <w:right w:val="single" w:sz="4" w:space="0" w:color="auto"/>
            </w:tcBorders>
            <w:shd w:val="clear" w:color="auto" w:fill="auto"/>
            <w:noWrap/>
            <w:vAlign w:val="center"/>
            <w:hideMark/>
          </w:tcPr>
          <w:p w14:paraId="46DA6353"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Receiver blocked</w:t>
            </w:r>
          </w:p>
        </w:tc>
        <w:tc>
          <w:tcPr>
            <w:tcW w:w="820" w:type="dxa"/>
            <w:tcBorders>
              <w:top w:val="nil"/>
              <w:left w:val="nil"/>
              <w:bottom w:val="single" w:sz="4" w:space="0" w:color="auto"/>
              <w:right w:val="single" w:sz="4" w:space="0" w:color="auto"/>
            </w:tcBorders>
            <w:shd w:val="clear" w:color="auto" w:fill="auto"/>
            <w:noWrap/>
            <w:vAlign w:val="center"/>
            <w:hideMark/>
          </w:tcPr>
          <w:p w14:paraId="432135E7"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8.26</w:t>
            </w:r>
          </w:p>
        </w:tc>
        <w:tc>
          <w:tcPr>
            <w:tcW w:w="84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C1DB515"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5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AB8E27C"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48.77</w:t>
            </w:r>
          </w:p>
        </w:tc>
      </w:tr>
      <w:tr w:rsidR="0064762B" w:rsidRPr="006423DF" w14:paraId="447CB4BB" w14:textId="77777777" w:rsidTr="0064762B">
        <w:trPr>
          <w:gridAfter w:val="1"/>
          <w:wAfter w:w="18" w:type="dxa"/>
          <w:trHeight w:val="663"/>
        </w:trPr>
        <w:tc>
          <w:tcPr>
            <w:tcW w:w="791" w:type="dxa"/>
            <w:tcBorders>
              <w:top w:val="nil"/>
              <w:left w:val="single" w:sz="4" w:space="0" w:color="auto"/>
              <w:bottom w:val="single" w:sz="4" w:space="0" w:color="auto"/>
              <w:right w:val="single" w:sz="4" w:space="0" w:color="auto"/>
            </w:tcBorders>
            <w:shd w:val="clear" w:color="auto" w:fill="auto"/>
            <w:vAlign w:val="center"/>
            <w:hideMark/>
          </w:tcPr>
          <w:p w14:paraId="2CAB63E4"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35" w:type="dxa"/>
            <w:vMerge/>
            <w:tcBorders>
              <w:top w:val="nil"/>
              <w:left w:val="single" w:sz="4" w:space="0" w:color="auto"/>
              <w:bottom w:val="single" w:sz="4" w:space="0" w:color="auto"/>
              <w:right w:val="single" w:sz="4" w:space="0" w:color="auto"/>
            </w:tcBorders>
            <w:vAlign w:val="center"/>
            <w:hideMark/>
          </w:tcPr>
          <w:p w14:paraId="4623FA65"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29" w:type="dxa"/>
            <w:vMerge/>
            <w:tcBorders>
              <w:top w:val="nil"/>
              <w:left w:val="single" w:sz="4" w:space="0" w:color="auto"/>
              <w:bottom w:val="single" w:sz="4" w:space="0" w:color="000000"/>
              <w:right w:val="single" w:sz="4" w:space="0" w:color="auto"/>
            </w:tcBorders>
            <w:vAlign w:val="center"/>
            <w:hideMark/>
          </w:tcPr>
          <w:p w14:paraId="6D49C2FD"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75" w:type="dxa"/>
            <w:tcBorders>
              <w:top w:val="nil"/>
              <w:left w:val="nil"/>
              <w:bottom w:val="single" w:sz="4" w:space="0" w:color="auto"/>
              <w:right w:val="single" w:sz="4" w:space="0" w:color="auto"/>
            </w:tcBorders>
            <w:shd w:val="clear" w:color="auto" w:fill="auto"/>
            <w:vAlign w:val="center"/>
            <w:hideMark/>
          </w:tcPr>
          <w:p w14:paraId="41CA5CFF" w14:textId="77777777" w:rsidR="0064762B" w:rsidRPr="00B334F7" w:rsidRDefault="0064762B" w:rsidP="00A435A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29" w:type="dxa"/>
            <w:vMerge/>
            <w:tcBorders>
              <w:top w:val="nil"/>
              <w:left w:val="single" w:sz="4" w:space="0" w:color="auto"/>
              <w:bottom w:val="single" w:sz="4" w:space="0" w:color="000000"/>
              <w:right w:val="single" w:sz="4" w:space="0" w:color="auto"/>
            </w:tcBorders>
            <w:vAlign w:val="center"/>
            <w:hideMark/>
          </w:tcPr>
          <w:p w14:paraId="0B5E6A7F"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6" w:type="dxa"/>
            <w:vMerge/>
            <w:tcBorders>
              <w:top w:val="nil"/>
              <w:left w:val="single" w:sz="4" w:space="0" w:color="auto"/>
              <w:bottom w:val="single" w:sz="4" w:space="0" w:color="auto"/>
              <w:right w:val="single" w:sz="4" w:space="0" w:color="auto"/>
            </w:tcBorders>
            <w:vAlign w:val="center"/>
            <w:hideMark/>
          </w:tcPr>
          <w:p w14:paraId="40284508"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5" w:type="dxa"/>
            <w:vMerge/>
            <w:tcBorders>
              <w:top w:val="nil"/>
              <w:left w:val="single" w:sz="4" w:space="0" w:color="auto"/>
              <w:bottom w:val="single" w:sz="4" w:space="0" w:color="000000"/>
              <w:right w:val="single" w:sz="4" w:space="0" w:color="auto"/>
            </w:tcBorders>
            <w:vAlign w:val="center"/>
            <w:hideMark/>
          </w:tcPr>
          <w:p w14:paraId="63ED14E7" w14:textId="77777777" w:rsidR="0064762B" w:rsidRPr="00B334F7" w:rsidRDefault="0064762B" w:rsidP="00A435A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423" w:type="dxa"/>
            <w:tcBorders>
              <w:top w:val="nil"/>
              <w:left w:val="nil"/>
              <w:bottom w:val="single" w:sz="4" w:space="0" w:color="auto"/>
              <w:right w:val="single" w:sz="4" w:space="0" w:color="auto"/>
            </w:tcBorders>
            <w:shd w:val="clear" w:color="auto" w:fill="auto"/>
            <w:noWrap/>
            <w:vAlign w:val="center"/>
            <w:hideMark/>
          </w:tcPr>
          <w:p w14:paraId="1947C952"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Receiver blocked</w:t>
            </w:r>
          </w:p>
        </w:tc>
        <w:tc>
          <w:tcPr>
            <w:tcW w:w="820" w:type="dxa"/>
            <w:tcBorders>
              <w:top w:val="nil"/>
              <w:left w:val="nil"/>
              <w:bottom w:val="single" w:sz="4" w:space="0" w:color="auto"/>
              <w:right w:val="single" w:sz="4" w:space="0" w:color="auto"/>
            </w:tcBorders>
            <w:shd w:val="clear" w:color="auto" w:fill="auto"/>
            <w:noWrap/>
            <w:vAlign w:val="center"/>
            <w:hideMark/>
          </w:tcPr>
          <w:p w14:paraId="72031BBD"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1.4</w:t>
            </w:r>
          </w:p>
        </w:tc>
        <w:tc>
          <w:tcPr>
            <w:tcW w:w="84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C4C1067"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5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D1E2B3E" w14:textId="77777777" w:rsidR="0064762B" w:rsidRPr="00B334F7" w:rsidRDefault="0064762B" w:rsidP="00A435A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13.03</w:t>
            </w:r>
          </w:p>
        </w:tc>
      </w:tr>
    </w:tbl>
    <w:p w14:paraId="16DC0625" w14:textId="77777777" w:rsidR="007831F2" w:rsidRDefault="007831F2" w:rsidP="00CC4AF2">
      <w:pPr>
        <w:rPr>
          <w:lang w:val="en-US"/>
        </w:rPr>
      </w:pPr>
    </w:p>
    <w:p w14:paraId="54408A2D" w14:textId="77777777" w:rsidR="00D15223" w:rsidRDefault="00D15223" w:rsidP="00D15223">
      <w:r>
        <w:t>Based on the results presented, we conclude the following on the coexistence for this scenario and case:</w:t>
      </w:r>
    </w:p>
    <w:p w14:paraId="1AC4C702" w14:textId="4246A13E" w:rsidR="00D15223" w:rsidRDefault="00D15223" w:rsidP="00D15223">
      <w:pPr>
        <w:rPr>
          <w:b/>
          <w:bCs/>
        </w:rPr>
      </w:pPr>
      <w:r w:rsidRPr="009D3E26">
        <w:rPr>
          <w:b/>
          <w:bCs/>
        </w:rPr>
        <w:t xml:space="preserve">Proposal </w:t>
      </w:r>
      <w:r w:rsidR="00161BA4">
        <w:rPr>
          <w:b/>
          <w:bCs/>
        </w:rPr>
        <w:t>9</w:t>
      </w:r>
      <w:r w:rsidRPr="009D3E26">
        <w:rPr>
          <w:b/>
          <w:bCs/>
        </w:rPr>
        <w:t xml:space="preserve">: </w:t>
      </w:r>
      <w:r w:rsidRPr="00D255A4">
        <w:rPr>
          <w:b/>
          <w:bCs/>
        </w:rPr>
        <w:t>The performance degradation for U</w:t>
      </w:r>
      <w:r>
        <w:rPr>
          <w:b/>
          <w:bCs/>
        </w:rPr>
        <w:t xml:space="preserve">Ma-to-UMi </w:t>
      </w:r>
      <w:r w:rsidRPr="00D255A4">
        <w:rPr>
          <w:b/>
          <w:bCs/>
        </w:rPr>
        <w:t>Case 2 is not acceptable when SBFD is adopted</w:t>
      </w:r>
      <w:r w:rsidR="00645331">
        <w:rPr>
          <w:b/>
          <w:bCs/>
        </w:rPr>
        <w:t xml:space="preserve"> at the aggressor network. </w:t>
      </w:r>
      <w:r w:rsidR="007C1B6B">
        <w:rPr>
          <w:b/>
          <w:bCs/>
        </w:rPr>
        <w:t>T</w:t>
      </w:r>
      <w:r w:rsidR="007C1B6B" w:rsidRPr="00D255A4">
        <w:rPr>
          <w:b/>
          <w:bCs/>
        </w:rPr>
        <w:t>herefore,</w:t>
      </w:r>
      <w:r w:rsidRPr="00D255A4">
        <w:rPr>
          <w:b/>
          <w:bCs/>
        </w:rPr>
        <w:t xml:space="preserve"> the operation on SBFD during TDD UL symbols/slots in the victim network is not recommended.</w:t>
      </w:r>
    </w:p>
    <w:p w14:paraId="0518D305" w14:textId="77777777" w:rsidR="00F93B04" w:rsidRPr="00B334F7" w:rsidRDefault="00F93B04" w:rsidP="00EF7212">
      <w:pPr>
        <w:rPr>
          <w:b/>
          <w:bCs/>
        </w:rPr>
      </w:pPr>
    </w:p>
    <w:p w14:paraId="2F359D3F" w14:textId="1078F8E8" w:rsidR="00CE7591" w:rsidRDefault="00CE7591">
      <w:pPr>
        <w:pStyle w:val="Heading4"/>
        <w:ind w:left="0" w:firstLine="0"/>
        <w:rPr>
          <w:lang w:val="en-US"/>
        </w:rPr>
      </w:pPr>
      <w:r w:rsidRPr="00FC6DDC">
        <w:rPr>
          <w:lang w:val="en-US"/>
        </w:rPr>
        <w:lastRenderedPageBreak/>
        <w:t>3.</w:t>
      </w:r>
      <w:r w:rsidR="007A4373" w:rsidRPr="00FC6DDC">
        <w:rPr>
          <w:lang w:val="en-US"/>
        </w:rPr>
        <w:t>2</w:t>
      </w:r>
      <w:r w:rsidRPr="00FC6DDC">
        <w:rPr>
          <w:lang w:val="en-US"/>
        </w:rPr>
        <w:t>.</w:t>
      </w:r>
      <w:r w:rsidR="00013DB8" w:rsidRPr="00FC6DDC">
        <w:rPr>
          <w:lang w:val="en-US"/>
        </w:rPr>
        <w:t>4</w:t>
      </w:r>
      <w:r w:rsidRPr="00FC6DDC">
        <w:rPr>
          <w:lang w:val="en-US"/>
        </w:rPr>
        <w:t xml:space="preserve"> </w:t>
      </w:r>
      <w:r w:rsidR="00E63CA6" w:rsidRPr="00FC6DDC">
        <w:rPr>
          <w:lang w:val="en-US"/>
        </w:rPr>
        <w:t xml:space="preserve">Scenario </w:t>
      </w:r>
      <w:r w:rsidR="00BF41E1" w:rsidRPr="00FC6DDC">
        <w:rPr>
          <w:lang w:val="en-US"/>
        </w:rPr>
        <w:t>5</w:t>
      </w:r>
      <w:r w:rsidR="00E63CA6" w:rsidRPr="00FC6DDC">
        <w:rPr>
          <w:lang w:val="en-US"/>
        </w:rPr>
        <w:t xml:space="preserve">: </w:t>
      </w:r>
      <w:r w:rsidR="009E2979" w:rsidRPr="00FC6DDC">
        <w:rPr>
          <w:lang w:val="en-US"/>
        </w:rPr>
        <w:t xml:space="preserve">FR1 </w:t>
      </w:r>
      <w:r w:rsidRPr="00FC6DDC">
        <w:rPr>
          <w:lang w:val="en-US"/>
        </w:rPr>
        <w:t>UMi-to-UMi</w:t>
      </w:r>
    </w:p>
    <w:p w14:paraId="6A0495EC" w14:textId="707BE62A" w:rsidR="00DB13BE" w:rsidRDefault="00E145EE" w:rsidP="00E04D4B">
      <w:pPr>
        <w:rPr>
          <w:lang w:val="en-US"/>
        </w:rPr>
      </w:pPr>
      <w:r>
        <w:rPr>
          <w:lang w:val="en-US"/>
        </w:rPr>
        <w:fldChar w:fldCharType="begin"/>
      </w:r>
      <w:r>
        <w:rPr>
          <w:lang w:val="en-US"/>
        </w:rPr>
        <w:instrText xml:space="preserve"> REF _Ref142646987 \h </w:instrText>
      </w:r>
      <w:r>
        <w:rPr>
          <w:lang w:val="en-US"/>
        </w:rPr>
      </w:r>
      <w:r>
        <w:rPr>
          <w:lang w:val="en-US"/>
        </w:rPr>
        <w:fldChar w:fldCharType="separate"/>
      </w:r>
      <w:r w:rsidR="004D336C">
        <w:t xml:space="preserve">Figure </w:t>
      </w:r>
      <w:r w:rsidR="004D336C">
        <w:rPr>
          <w:noProof/>
        </w:rPr>
        <w:t>9</w:t>
      </w:r>
      <w:r>
        <w:rPr>
          <w:lang w:val="en-US"/>
        </w:rPr>
        <w:fldChar w:fldCharType="end"/>
      </w:r>
      <w:r w:rsidR="00C66337">
        <w:rPr>
          <w:lang w:val="en-US"/>
        </w:rPr>
        <w:t xml:space="preserve"> </w:t>
      </w:r>
      <w:r w:rsidRPr="005B4A37">
        <w:rPr>
          <w:lang w:val="en-US"/>
        </w:rPr>
        <w:t xml:space="preserve">shows the </w:t>
      </w:r>
      <w:r>
        <w:rPr>
          <w:lang w:val="en-US"/>
        </w:rPr>
        <w:t>victim U</w:t>
      </w:r>
      <w:r w:rsidRPr="005B4A37">
        <w:rPr>
          <w:lang w:val="en-US"/>
        </w:rPr>
        <w:t>L SINR at 5</w:t>
      </w:r>
      <w:r w:rsidRPr="00EF7212">
        <w:rPr>
          <w:vertAlign w:val="superscript"/>
          <w:lang w:val="en-US"/>
        </w:rPr>
        <w:t>th</w:t>
      </w:r>
      <w:r w:rsidRPr="005B4A37">
        <w:rPr>
          <w:lang w:val="en-US"/>
        </w:rPr>
        <w:t xml:space="preserve"> and 50</w:t>
      </w:r>
      <w:r w:rsidRPr="00EF7212">
        <w:rPr>
          <w:vertAlign w:val="superscript"/>
          <w:lang w:val="en-US"/>
        </w:rPr>
        <w:t>th</w:t>
      </w:r>
      <w:r w:rsidRPr="005B4A37">
        <w:rPr>
          <w:lang w:val="en-US"/>
        </w:rPr>
        <w:t xml:space="preserve"> percentiles </w:t>
      </w:r>
      <w:r>
        <w:rPr>
          <w:lang w:val="en-US"/>
        </w:rPr>
        <w:t>and the victim UL throughput at 5</w:t>
      </w:r>
      <w:r w:rsidRPr="009703BE">
        <w:rPr>
          <w:vertAlign w:val="superscript"/>
          <w:lang w:val="en-US"/>
        </w:rPr>
        <w:t>th</w:t>
      </w:r>
      <w:r>
        <w:rPr>
          <w:lang w:val="en-US"/>
        </w:rPr>
        <w:t xml:space="preserve"> percentile and average for different grid offset. The figure includes</w:t>
      </w:r>
      <w:r w:rsidRPr="005B4A37">
        <w:rPr>
          <w:lang w:val="en-US"/>
        </w:rPr>
        <w:t xml:space="preserve"> cases </w:t>
      </w:r>
      <w:r>
        <w:rPr>
          <w:lang w:val="en-US"/>
        </w:rPr>
        <w:t>with</w:t>
      </w:r>
      <w:r w:rsidRPr="005B4A37">
        <w:rPr>
          <w:lang w:val="en-US"/>
        </w:rPr>
        <w:t xml:space="preserve"> no </w:t>
      </w:r>
      <w:r>
        <w:rPr>
          <w:lang w:val="en-US"/>
        </w:rPr>
        <w:t>adjacent channel interference (ACI)</w:t>
      </w:r>
      <w:r w:rsidRPr="005B4A37">
        <w:rPr>
          <w:lang w:val="en-US"/>
        </w:rPr>
        <w:t xml:space="preserve">, and when ACI is generated by TDD </w:t>
      </w:r>
      <w:r>
        <w:rPr>
          <w:lang w:val="en-US"/>
        </w:rPr>
        <w:t>U</w:t>
      </w:r>
      <w:r w:rsidRPr="005B4A37">
        <w:rPr>
          <w:lang w:val="en-US"/>
        </w:rPr>
        <w:t>L or SBFD</w:t>
      </w:r>
      <w:r>
        <w:rPr>
          <w:lang w:val="en-US"/>
        </w:rPr>
        <w:t>.</w:t>
      </w:r>
      <w:r w:rsidR="00E04D4B">
        <w:rPr>
          <w:lang w:val="en-US"/>
        </w:rPr>
        <w:t xml:space="preserve"> </w:t>
      </w:r>
      <w:r w:rsidR="00317F3F">
        <w:rPr>
          <w:lang w:val="en-US"/>
        </w:rPr>
        <w:t xml:space="preserve">The first </w:t>
      </w:r>
      <w:r w:rsidR="00FE7603">
        <w:rPr>
          <w:lang w:val="en-US"/>
        </w:rPr>
        <w:t xml:space="preserve">aspect we observe is that </w:t>
      </w:r>
      <w:r w:rsidR="00E564F6">
        <w:rPr>
          <w:lang w:val="en-US"/>
        </w:rPr>
        <w:t xml:space="preserve">even without </w:t>
      </w:r>
      <w:r w:rsidR="005C6B91">
        <w:rPr>
          <w:lang w:val="en-US"/>
        </w:rPr>
        <w:t>adjacent channel interference, the UL S</w:t>
      </w:r>
      <w:r w:rsidR="00A37505">
        <w:rPr>
          <w:lang w:val="en-US"/>
        </w:rPr>
        <w:t xml:space="preserve">INR </w:t>
      </w:r>
      <w:r w:rsidR="005C6B91">
        <w:rPr>
          <w:lang w:val="en-US"/>
        </w:rPr>
        <w:t xml:space="preserve">at the cell edge UEs </w:t>
      </w:r>
      <w:r w:rsidR="00A37505">
        <w:rPr>
          <w:lang w:val="en-US"/>
        </w:rPr>
        <w:t xml:space="preserve">is lower than </w:t>
      </w:r>
      <w:r w:rsidR="00F04CD7">
        <w:rPr>
          <w:lang w:val="en-US"/>
        </w:rPr>
        <w:t xml:space="preserve">the minimum UL SINR </w:t>
      </w:r>
      <w:r w:rsidR="00962635">
        <w:rPr>
          <w:lang w:val="en-US"/>
        </w:rPr>
        <w:t>threshold</w:t>
      </w:r>
      <w:r w:rsidR="00F04CD7">
        <w:rPr>
          <w:lang w:val="en-US"/>
        </w:rPr>
        <w:t xml:space="preserve"> to achieve any UL throughput. </w:t>
      </w:r>
      <w:r w:rsidR="0013663D">
        <w:rPr>
          <w:lang w:val="en-US"/>
        </w:rPr>
        <w:t>Our interpretation is that we are in a noise limited scenario</w:t>
      </w:r>
      <w:r w:rsidR="005447F1">
        <w:rPr>
          <w:lang w:val="en-US"/>
        </w:rPr>
        <w:t xml:space="preserve"> at the 5</w:t>
      </w:r>
      <w:r w:rsidR="005447F1" w:rsidRPr="00EF7212">
        <w:rPr>
          <w:vertAlign w:val="superscript"/>
          <w:lang w:val="en-US"/>
        </w:rPr>
        <w:t>th</w:t>
      </w:r>
      <w:r w:rsidR="005447F1">
        <w:rPr>
          <w:lang w:val="en-US"/>
        </w:rPr>
        <w:t xml:space="preserve"> percentile</w:t>
      </w:r>
      <w:r w:rsidR="0013663D">
        <w:rPr>
          <w:lang w:val="en-US"/>
        </w:rPr>
        <w:t xml:space="preserve"> in which the </w:t>
      </w:r>
      <w:r w:rsidR="000161E1">
        <w:rPr>
          <w:lang w:val="en-US"/>
        </w:rPr>
        <w:t xml:space="preserve">10 dB </w:t>
      </w:r>
      <w:r w:rsidR="00DD61BD">
        <w:rPr>
          <w:lang w:val="en-US"/>
        </w:rPr>
        <w:t xml:space="preserve">BS </w:t>
      </w:r>
      <w:r w:rsidR="000161E1">
        <w:rPr>
          <w:lang w:val="en-US"/>
        </w:rPr>
        <w:t xml:space="preserve">noise figure </w:t>
      </w:r>
      <w:r w:rsidR="00A804C0">
        <w:rPr>
          <w:lang w:val="en-US"/>
        </w:rPr>
        <w:t>plays an important role.</w:t>
      </w:r>
      <w:r w:rsidR="00035B9C">
        <w:rPr>
          <w:lang w:val="en-US"/>
        </w:rPr>
        <w:t xml:space="preserve"> </w:t>
      </w:r>
      <w:r w:rsidR="00DB13BE" w:rsidRPr="004A0DA9">
        <w:rPr>
          <w:lang w:val="en-US"/>
        </w:rPr>
        <w:t>Due to the lower BS transmit power, the difference in degradation between SBFD and TDD at 100% grid shift is not as large as previously reported for the urban macro or urban hotspot scenarios.</w:t>
      </w:r>
      <w:r w:rsidR="00DB13BE">
        <w:rPr>
          <w:lang w:val="en-US"/>
        </w:rPr>
        <w:t xml:space="preserve"> </w:t>
      </w:r>
      <w:r w:rsidR="00A17938">
        <w:rPr>
          <w:lang w:val="en-US"/>
        </w:rPr>
        <w:t xml:space="preserve">However, </w:t>
      </w:r>
      <w:r w:rsidR="00890BF3">
        <w:rPr>
          <w:lang w:val="en-US"/>
        </w:rPr>
        <w:t xml:space="preserve">if the victim and aggressor base stations </w:t>
      </w:r>
      <w:r w:rsidR="00E55B99">
        <w:rPr>
          <w:lang w:val="en-US"/>
        </w:rPr>
        <w:t>get</w:t>
      </w:r>
      <w:r w:rsidR="00890BF3">
        <w:rPr>
          <w:lang w:val="en-US"/>
        </w:rPr>
        <w:t xml:space="preserve"> close enough, i.e., 10% grid shift, </w:t>
      </w:r>
      <w:r w:rsidR="00B50449">
        <w:rPr>
          <w:lang w:val="en-US"/>
        </w:rPr>
        <w:t xml:space="preserve">the degradation </w:t>
      </w:r>
      <w:r w:rsidR="00317F3F">
        <w:rPr>
          <w:lang w:val="en-US"/>
        </w:rPr>
        <w:t>difference is larger.</w:t>
      </w:r>
      <w:r w:rsidR="00035B9C">
        <w:rPr>
          <w:lang w:val="en-US"/>
        </w:rPr>
        <w:t xml:space="preserve"> In fact, with 10% grid shift, the BS-to-BS ACI </w:t>
      </w:r>
      <w:r w:rsidR="00E41818">
        <w:rPr>
          <w:lang w:val="en-US"/>
        </w:rPr>
        <w:t xml:space="preserve">saturates the victim BS receiver and brings the </w:t>
      </w:r>
      <w:r w:rsidR="001A03D8">
        <w:rPr>
          <w:lang w:val="en-US"/>
        </w:rPr>
        <w:t>5</w:t>
      </w:r>
      <w:r w:rsidR="001A03D8" w:rsidRPr="00B334F7">
        <w:rPr>
          <w:vertAlign w:val="superscript"/>
          <w:lang w:val="en-US"/>
        </w:rPr>
        <w:t>th</w:t>
      </w:r>
      <w:r w:rsidR="001A03D8">
        <w:rPr>
          <w:lang w:val="en-US"/>
        </w:rPr>
        <w:t xml:space="preserve"> percentile and average </w:t>
      </w:r>
      <w:r w:rsidR="00E41818">
        <w:rPr>
          <w:lang w:val="en-US"/>
        </w:rPr>
        <w:t>UL throughput to 0</w:t>
      </w:r>
      <w:r w:rsidR="001A03D8">
        <w:rPr>
          <w:lang w:val="en-US"/>
        </w:rPr>
        <w:t xml:space="preserve"> Mbps</w:t>
      </w:r>
      <w:r w:rsidR="00E41818">
        <w:rPr>
          <w:lang w:val="en-US"/>
        </w:rPr>
        <w:t>.</w:t>
      </w:r>
    </w:p>
    <w:p w14:paraId="436FB908" w14:textId="5C39BE7C" w:rsidR="002B4C0A" w:rsidRDefault="00CD6C48" w:rsidP="00EF7212">
      <w:pPr>
        <w:keepNext/>
        <w:jc w:val="center"/>
      </w:pPr>
      <w:r w:rsidRPr="00CD6C48">
        <w:rPr>
          <w:noProof/>
        </w:rPr>
        <w:drawing>
          <wp:inline distT="0" distB="0" distL="0" distR="0" wp14:anchorId="397DA61D" wp14:editId="630FE9E6">
            <wp:extent cx="5335325" cy="3776869"/>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rotWithShape="1">
                    <a:blip r:embed="rId21">
                      <a:extLst>
                        <a:ext uri="{28A0092B-C50C-407E-A947-70E740481C1C}">
                          <a14:useLocalDpi xmlns:a14="http://schemas.microsoft.com/office/drawing/2010/main" val="0"/>
                        </a:ext>
                      </a:extLst>
                    </a:blip>
                    <a:srcRect l="6371" t="3460" r="6381" b="5237"/>
                    <a:stretch/>
                  </pic:blipFill>
                  <pic:spPr bwMode="auto">
                    <a:xfrm>
                      <a:off x="0" y="0"/>
                      <a:ext cx="5335842" cy="3777235"/>
                    </a:xfrm>
                    <a:prstGeom prst="rect">
                      <a:avLst/>
                    </a:prstGeom>
                    <a:noFill/>
                    <a:ln>
                      <a:noFill/>
                    </a:ln>
                    <a:extLst>
                      <a:ext uri="{53640926-AAD7-44D8-BBD7-CCE9431645EC}">
                        <a14:shadowObscured xmlns:a14="http://schemas.microsoft.com/office/drawing/2010/main"/>
                      </a:ext>
                    </a:extLst>
                  </pic:spPr>
                </pic:pic>
              </a:graphicData>
            </a:graphic>
          </wp:inline>
        </w:drawing>
      </w:r>
      <w:r w:rsidRPr="00CD6C48" w:rsidDel="0090572F">
        <w:t xml:space="preserve"> </w:t>
      </w:r>
    </w:p>
    <w:p w14:paraId="513A8789" w14:textId="39B930DA" w:rsidR="00E04D4B" w:rsidRDefault="002B4C0A" w:rsidP="00B334F7">
      <w:pPr>
        <w:pStyle w:val="Caption"/>
        <w:jc w:val="center"/>
      </w:pPr>
      <w:bookmarkStart w:id="29" w:name="_Ref142646987"/>
      <w:r>
        <w:t xml:space="preserve">Figure </w:t>
      </w:r>
      <w:r>
        <w:fldChar w:fldCharType="begin"/>
      </w:r>
      <w:r>
        <w:instrText xml:space="preserve"> SEQ Figure \* ARABIC </w:instrText>
      </w:r>
      <w:r>
        <w:fldChar w:fldCharType="separate"/>
      </w:r>
      <w:r w:rsidR="004D336C">
        <w:rPr>
          <w:noProof/>
        </w:rPr>
        <w:t>9</w:t>
      </w:r>
      <w:r>
        <w:fldChar w:fldCharType="end"/>
      </w:r>
      <w:bookmarkEnd w:id="29"/>
      <w:r w:rsidR="00E04D4B">
        <w:t xml:space="preserve">. </w:t>
      </w:r>
      <w:r w:rsidR="00746317">
        <w:t>Comparison of UL SINR and UL throughput for Case 2 UMi-to-UMi scenario</w:t>
      </w:r>
      <w:r w:rsidR="00746317" w:rsidDel="00746317">
        <w:t xml:space="preserve"> </w:t>
      </w:r>
    </w:p>
    <w:p w14:paraId="680EF92A" w14:textId="77777777" w:rsidR="004A0DA9" w:rsidRDefault="004A0DA9" w:rsidP="00EF3FF7">
      <w:pPr>
        <w:rPr>
          <w:lang w:val="en-US"/>
        </w:rPr>
      </w:pPr>
    </w:p>
    <w:p w14:paraId="1040FBB9" w14:textId="524DD7FA" w:rsidR="000150F2" w:rsidRDefault="00EF3FF7" w:rsidP="00EF3FF7">
      <w:pPr>
        <w:rPr>
          <w:lang w:val="en-US"/>
        </w:rPr>
      </w:pPr>
      <w:r>
        <w:rPr>
          <w:lang w:val="en-US"/>
        </w:rPr>
        <w:t xml:space="preserve">In </w:t>
      </w:r>
      <w:r w:rsidR="00811ECF">
        <w:rPr>
          <w:lang w:val="en-US"/>
        </w:rPr>
        <w:fldChar w:fldCharType="begin"/>
      </w:r>
      <w:r w:rsidR="00811ECF">
        <w:rPr>
          <w:lang w:val="en-US"/>
        </w:rPr>
        <w:instrText xml:space="preserve"> REF _Ref146573734 \h </w:instrText>
      </w:r>
      <w:r w:rsidR="00811ECF">
        <w:rPr>
          <w:lang w:val="en-US"/>
        </w:rPr>
      </w:r>
      <w:r w:rsidR="00811ECF">
        <w:rPr>
          <w:lang w:val="en-US"/>
        </w:rPr>
        <w:fldChar w:fldCharType="separate"/>
      </w:r>
      <w:r w:rsidR="004D336C">
        <w:t xml:space="preserve">Table </w:t>
      </w:r>
      <w:r w:rsidR="004D336C">
        <w:rPr>
          <w:noProof/>
        </w:rPr>
        <w:t>9</w:t>
      </w:r>
      <w:r w:rsidR="00811ECF">
        <w:rPr>
          <w:lang w:val="en-US"/>
        </w:rPr>
        <w:fldChar w:fldCharType="end"/>
      </w:r>
      <w:r w:rsidR="00811ECF">
        <w:rPr>
          <w:lang w:val="en-US"/>
        </w:rPr>
        <w:t xml:space="preserve"> </w:t>
      </w:r>
      <w:r>
        <w:rPr>
          <w:lang w:val="en-US"/>
        </w:rPr>
        <w:t xml:space="preserve">we provide a performance summary this case. The main conclusion </w:t>
      </w:r>
      <w:r>
        <w:rPr>
          <w:lang w:val="en-US"/>
        </w:rPr>
        <w:fldChar w:fldCharType="begin"/>
      </w:r>
      <w:r>
        <w:rPr>
          <w:lang w:val="en-US"/>
        </w:rPr>
        <w:instrText xml:space="preserve"> REF _Ref146536979 \h </w:instrText>
      </w:r>
      <w:r>
        <w:rPr>
          <w:lang w:val="en-US"/>
        </w:rPr>
      </w:r>
      <w:r>
        <w:rPr>
          <w:lang w:val="en-US"/>
        </w:rPr>
        <w:fldChar w:fldCharType="end"/>
      </w:r>
      <w:r>
        <w:rPr>
          <w:lang w:val="en-US"/>
        </w:rPr>
        <w:t xml:space="preserve">is that SBFD degrades the TDD UL performance of the victim </w:t>
      </w:r>
      <w:r w:rsidR="000D6448">
        <w:rPr>
          <w:lang w:val="en-US"/>
        </w:rPr>
        <w:t xml:space="preserve">much more than TDD UL. This is especially evident for the 10% grid offset for which TDD UL degrades the throughput </w:t>
      </w:r>
      <w:r w:rsidR="009B75EF">
        <w:rPr>
          <w:lang w:val="en-US"/>
        </w:rPr>
        <w:t>around 1</w:t>
      </w:r>
      <w:r w:rsidR="000D6448">
        <w:rPr>
          <w:lang w:val="en-US"/>
        </w:rPr>
        <w:t xml:space="preserve">% while SBFD degrades </w:t>
      </w:r>
      <w:r w:rsidR="009B75EF">
        <w:rPr>
          <w:lang w:val="en-US"/>
        </w:rPr>
        <w:t xml:space="preserve">it </w:t>
      </w:r>
      <w:r w:rsidR="0015499F">
        <w:rPr>
          <w:lang w:val="en-US"/>
        </w:rPr>
        <w:t>40</w:t>
      </w:r>
      <w:r w:rsidR="000D6448">
        <w:rPr>
          <w:lang w:val="en-US"/>
        </w:rPr>
        <w:t>%</w:t>
      </w:r>
      <w:r w:rsidR="0015499F">
        <w:rPr>
          <w:lang w:val="en-US"/>
        </w:rPr>
        <w:t xml:space="preserve"> approximately</w:t>
      </w:r>
      <w:r w:rsidR="000D6448">
        <w:rPr>
          <w:lang w:val="en-US"/>
        </w:rPr>
        <w:t xml:space="preserve">. </w:t>
      </w:r>
    </w:p>
    <w:p w14:paraId="28DA2D9C" w14:textId="4668F0FA" w:rsidR="006460B9" w:rsidRDefault="006460B9" w:rsidP="006460B9">
      <w:pPr>
        <w:pStyle w:val="Caption"/>
        <w:keepNext/>
      </w:pPr>
      <w:bookmarkStart w:id="30" w:name="_Ref146573734"/>
      <w:r>
        <w:t xml:space="preserve">Table </w:t>
      </w:r>
      <w:r>
        <w:fldChar w:fldCharType="begin"/>
      </w:r>
      <w:r>
        <w:instrText xml:space="preserve"> SEQ Table \* ARABIC </w:instrText>
      </w:r>
      <w:r>
        <w:fldChar w:fldCharType="separate"/>
      </w:r>
      <w:r w:rsidR="004D336C">
        <w:rPr>
          <w:noProof/>
        </w:rPr>
        <w:t>9</w:t>
      </w:r>
      <w:r>
        <w:fldChar w:fldCharType="end"/>
      </w:r>
      <w:bookmarkEnd w:id="30"/>
      <w:r>
        <w:t>. Performance summary for Case 2 UMi-to-UMi scenario</w:t>
      </w:r>
    </w:p>
    <w:tbl>
      <w:tblPr>
        <w:tblW w:w="10560" w:type="dxa"/>
        <w:tblLook w:val="04A0" w:firstRow="1" w:lastRow="0" w:firstColumn="1" w:lastColumn="0" w:noHBand="0" w:noVBand="1"/>
      </w:tblPr>
      <w:tblGrid>
        <w:gridCol w:w="794"/>
        <w:gridCol w:w="937"/>
        <w:gridCol w:w="834"/>
        <w:gridCol w:w="1177"/>
        <w:gridCol w:w="834"/>
        <w:gridCol w:w="862"/>
        <w:gridCol w:w="938"/>
        <w:gridCol w:w="1424"/>
        <w:gridCol w:w="825"/>
        <w:gridCol w:w="864"/>
        <w:gridCol w:w="849"/>
        <w:gridCol w:w="222"/>
      </w:tblGrid>
      <w:tr w:rsidR="000150F2" w:rsidRPr="000150F2" w14:paraId="1CBA773D" w14:textId="77777777" w:rsidTr="000150F2">
        <w:trPr>
          <w:gridAfter w:val="1"/>
          <w:wAfter w:w="36" w:type="dxa"/>
          <w:trHeight w:val="315"/>
        </w:trPr>
        <w:tc>
          <w:tcPr>
            <w:tcW w:w="10524"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EED051"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5: FR1 UMi-to-UMi</w:t>
            </w:r>
            <w:r w:rsidRPr="00B334F7">
              <w:rPr>
                <w:rFonts w:ascii="Times New Roman" w:eastAsia="Times New Roman" w:hAnsi="Times New Roman" w:cs="Times New Roman"/>
                <w:b/>
                <w:bCs/>
                <w:sz w:val="16"/>
                <w:szCs w:val="16"/>
                <w:lang w:val="en-US"/>
              </w:rPr>
              <w:br/>
              <w:t>Case 2: TDD UL as victim</w:t>
            </w:r>
          </w:p>
        </w:tc>
      </w:tr>
      <w:tr w:rsidR="000150F2" w:rsidRPr="000150F2" w14:paraId="790CD2D3" w14:textId="77777777" w:rsidTr="000150F2">
        <w:trPr>
          <w:gridAfter w:val="1"/>
          <w:wAfter w:w="36" w:type="dxa"/>
          <w:trHeight w:val="300"/>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14:paraId="387D2166"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33770F69"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hideMark/>
          </w:tcPr>
          <w:p w14:paraId="79970250"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86" w:type="dxa"/>
            <w:vMerge w:val="restart"/>
            <w:tcBorders>
              <w:top w:val="nil"/>
              <w:left w:val="single" w:sz="4" w:space="0" w:color="auto"/>
              <w:bottom w:val="single" w:sz="4" w:space="0" w:color="auto"/>
              <w:right w:val="single" w:sz="4" w:space="0" w:color="auto"/>
            </w:tcBorders>
            <w:shd w:val="clear" w:color="auto" w:fill="auto"/>
            <w:vAlign w:val="center"/>
            <w:hideMark/>
          </w:tcPr>
          <w:p w14:paraId="3140A8BB"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hideMark/>
          </w:tcPr>
          <w:p w14:paraId="1895D68B"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14:paraId="47544659"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45" w:type="dxa"/>
            <w:vMerge w:val="restart"/>
            <w:tcBorders>
              <w:top w:val="nil"/>
              <w:left w:val="single" w:sz="4" w:space="0" w:color="auto"/>
              <w:bottom w:val="single" w:sz="4" w:space="0" w:color="auto"/>
              <w:right w:val="single" w:sz="4" w:space="0" w:color="auto"/>
            </w:tcBorders>
            <w:shd w:val="clear" w:color="auto" w:fill="auto"/>
            <w:vAlign w:val="center"/>
            <w:hideMark/>
          </w:tcPr>
          <w:p w14:paraId="071B927C"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22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CF63D5"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7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35B279"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0150F2" w:rsidRPr="000150F2" w14:paraId="77C757FC" w14:textId="77777777" w:rsidTr="000150F2">
        <w:trPr>
          <w:trHeight w:val="300"/>
        </w:trPr>
        <w:tc>
          <w:tcPr>
            <w:tcW w:w="846" w:type="dxa"/>
            <w:vMerge/>
            <w:tcBorders>
              <w:top w:val="nil"/>
              <w:left w:val="single" w:sz="4" w:space="0" w:color="auto"/>
              <w:bottom w:val="single" w:sz="4" w:space="0" w:color="auto"/>
              <w:right w:val="single" w:sz="4" w:space="0" w:color="auto"/>
            </w:tcBorders>
            <w:vAlign w:val="center"/>
            <w:hideMark/>
          </w:tcPr>
          <w:p w14:paraId="7C00E70E"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44" w:type="dxa"/>
            <w:vMerge/>
            <w:tcBorders>
              <w:top w:val="nil"/>
              <w:left w:val="single" w:sz="4" w:space="0" w:color="auto"/>
              <w:bottom w:val="single" w:sz="4" w:space="0" w:color="auto"/>
              <w:right w:val="single" w:sz="4" w:space="0" w:color="auto"/>
            </w:tcBorders>
            <w:vAlign w:val="center"/>
            <w:hideMark/>
          </w:tcPr>
          <w:p w14:paraId="49ACEE69"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4" w:type="dxa"/>
            <w:vMerge/>
            <w:tcBorders>
              <w:top w:val="nil"/>
              <w:left w:val="single" w:sz="4" w:space="0" w:color="auto"/>
              <w:bottom w:val="single" w:sz="4" w:space="0" w:color="auto"/>
              <w:right w:val="single" w:sz="4" w:space="0" w:color="auto"/>
            </w:tcBorders>
            <w:vAlign w:val="center"/>
            <w:hideMark/>
          </w:tcPr>
          <w:p w14:paraId="0A430265"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86" w:type="dxa"/>
            <w:vMerge/>
            <w:tcBorders>
              <w:top w:val="nil"/>
              <w:left w:val="single" w:sz="4" w:space="0" w:color="auto"/>
              <w:bottom w:val="single" w:sz="4" w:space="0" w:color="auto"/>
              <w:right w:val="single" w:sz="4" w:space="0" w:color="auto"/>
            </w:tcBorders>
            <w:vAlign w:val="center"/>
            <w:hideMark/>
          </w:tcPr>
          <w:p w14:paraId="47BFA4C6"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4" w:type="dxa"/>
            <w:vMerge/>
            <w:tcBorders>
              <w:top w:val="nil"/>
              <w:left w:val="single" w:sz="4" w:space="0" w:color="auto"/>
              <w:bottom w:val="single" w:sz="4" w:space="0" w:color="auto"/>
              <w:right w:val="single" w:sz="4" w:space="0" w:color="auto"/>
            </w:tcBorders>
            <w:vAlign w:val="center"/>
            <w:hideMark/>
          </w:tcPr>
          <w:p w14:paraId="1E210FBB"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3" w:type="dxa"/>
            <w:vMerge/>
            <w:tcBorders>
              <w:top w:val="nil"/>
              <w:left w:val="single" w:sz="4" w:space="0" w:color="auto"/>
              <w:bottom w:val="single" w:sz="4" w:space="0" w:color="auto"/>
              <w:right w:val="single" w:sz="4" w:space="0" w:color="auto"/>
            </w:tcBorders>
            <w:vAlign w:val="center"/>
            <w:hideMark/>
          </w:tcPr>
          <w:p w14:paraId="75653D91"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45" w:type="dxa"/>
            <w:vMerge/>
            <w:tcBorders>
              <w:top w:val="nil"/>
              <w:left w:val="single" w:sz="4" w:space="0" w:color="auto"/>
              <w:bottom w:val="single" w:sz="4" w:space="0" w:color="auto"/>
              <w:right w:val="single" w:sz="4" w:space="0" w:color="auto"/>
            </w:tcBorders>
            <w:vAlign w:val="center"/>
            <w:hideMark/>
          </w:tcPr>
          <w:p w14:paraId="47F7CC33"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2249" w:type="dxa"/>
            <w:gridSpan w:val="2"/>
            <w:vMerge/>
            <w:tcBorders>
              <w:top w:val="single" w:sz="4" w:space="0" w:color="auto"/>
              <w:left w:val="single" w:sz="4" w:space="0" w:color="auto"/>
              <w:bottom w:val="single" w:sz="4" w:space="0" w:color="auto"/>
              <w:right w:val="single" w:sz="4" w:space="0" w:color="auto"/>
            </w:tcBorders>
            <w:vAlign w:val="center"/>
            <w:hideMark/>
          </w:tcPr>
          <w:p w14:paraId="0861A95B"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13" w:type="dxa"/>
            <w:gridSpan w:val="2"/>
            <w:vMerge/>
            <w:tcBorders>
              <w:top w:val="single" w:sz="4" w:space="0" w:color="auto"/>
              <w:left w:val="single" w:sz="4" w:space="0" w:color="auto"/>
              <w:bottom w:val="single" w:sz="4" w:space="0" w:color="auto"/>
              <w:right w:val="single" w:sz="4" w:space="0" w:color="auto"/>
            </w:tcBorders>
            <w:vAlign w:val="center"/>
            <w:hideMark/>
          </w:tcPr>
          <w:p w14:paraId="25AABFF5"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36" w:type="dxa"/>
            <w:tcBorders>
              <w:top w:val="nil"/>
              <w:left w:val="nil"/>
              <w:bottom w:val="nil"/>
              <w:right w:val="nil"/>
            </w:tcBorders>
            <w:shd w:val="clear" w:color="auto" w:fill="auto"/>
            <w:noWrap/>
            <w:vAlign w:val="bottom"/>
            <w:hideMark/>
          </w:tcPr>
          <w:p w14:paraId="2292E0D0"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p>
        </w:tc>
      </w:tr>
      <w:tr w:rsidR="006423DF" w:rsidRPr="006423DF" w14:paraId="2BC975E3" w14:textId="77777777" w:rsidTr="000150F2">
        <w:trPr>
          <w:trHeight w:val="300"/>
        </w:trPr>
        <w:tc>
          <w:tcPr>
            <w:tcW w:w="846" w:type="dxa"/>
            <w:vMerge/>
            <w:tcBorders>
              <w:top w:val="nil"/>
              <w:left w:val="single" w:sz="4" w:space="0" w:color="auto"/>
              <w:bottom w:val="single" w:sz="4" w:space="0" w:color="auto"/>
              <w:right w:val="single" w:sz="4" w:space="0" w:color="auto"/>
            </w:tcBorders>
            <w:vAlign w:val="center"/>
            <w:hideMark/>
          </w:tcPr>
          <w:p w14:paraId="3587693D"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44" w:type="dxa"/>
            <w:vMerge/>
            <w:tcBorders>
              <w:top w:val="nil"/>
              <w:left w:val="single" w:sz="4" w:space="0" w:color="auto"/>
              <w:bottom w:val="single" w:sz="4" w:space="0" w:color="auto"/>
              <w:right w:val="single" w:sz="4" w:space="0" w:color="auto"/>
            </w:tcBorders>
            <w:vAlign w:val="center"/>
            <w:hideMark/>
          </w:tcPr>
          <w:p w14:paraId="26DD2B65"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4" w:type="dxa"/>
            <w:vMerge/>
            <w:tcBorders>
              <w:top w:val="nil"/>
              <w:left w:val="single" w:sz="4" w:space="0" w:color="auto"/>
              <w:bottom w:val="single" w:sz="4" w:space="0" w:color="auto"/>
              <w:right w:val="single" w:sz="4" w:space="0" w:color="auto"/>
            </w:tcBorders>
            <w:vAlign w:val="center"/>
            <w:hideMark/>
          </w:tcPr>
          <w:p w14:paraId="0DD67A31"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86" w:type="dxa"/>
            <w:vMerge/>
            <w:tcBorders>
              <w:top w:val="nil"/>
              <w:left w:val="single" w:sz="4" w:space="0" w:color="auto"/>
              <w:bottom w:val="single" w:sz="4" w:space="0" w:color="auto"/>
              <w:right w:val="single" w:sz="4" w:space="0" w:color="auto"/>
            </w:tcBorders>
            <w:vAlign w:val="center"/>
            <w:hideMark/>
          </w:tcPr>
          <w:p w14:paraId="781A5BA0"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4" w:type="dxa"/>
            <w:vMerge/>
            <w:tcBorders>
              <w:top w:val="nil"/>
              <w:left w:val="single" w:sz="4" w:space="0" w:color="auto"/>
              <w:bottom w:val="single" w:sz="4" w:space="0" w:color="auto"/>
              <w:right w:val="single" w:sz="4" w:space="0" w:color="auto"/>
            </w:tcBorders>
            <w:vAlign w:val="center"/>
            <w:hideMark/>
          </w:tcPr>
          <w:p w14:paraId="263A0150"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3" w:type="dxa"/>
            <w:vMerge/>
            <w:tcBorders>
              <w:top w:val="nil"/>
              <w:left w:val="single" w:sz="4" w:space="0" w:color="auto"/>
              <w:bottom w:val="single" w:sz="4" w:space="0" w:color="auto"/>
              <w:right w:val="single" w:sz="4" w:space="0" w:color="auto"/>
            </w:tcBorders>
            <w:vAlign w:val="center"/>
            <w:hideMark/>
          </w:tcPr>
          <w:p w14:paraId="1A511B07"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45" w:type="dxa"/>
            <w:vMerge/>
            <w:tcBorders>
              <w:top w:val="nil"/>
              <w:left w:val="single" w:sz="4" w:space="0" w:color="auto"/>
              <w:bottom w:val="single" w:sz="4" w:space="0" w:color="auto"/>
              <w:right w:val="single" w:sz="4" w:space="0" w:color="auto"/>
            </w:tcBorders>
            <w:vAlign w:val="center"/>
            <w:hideMark/>
          </w:tcPr>
          <w:p w14:paraId="3486A187"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424" w:type="dxa"/>
            <w:tcBorders>
              <w:top w:val="nil"/>
              <w:left w:val="nil"/>
              <w:bottom w:val="single" w:sz="4" w:space="0" w:color="auto"/>
              <w:right w:val="single" w:sz="4" w:space="0" w:color="auto"/>
            </w:tcBorders>
            <w:shd w:val="clear" w:color="auto" w:fill="auto"/>
            <w:vAlign w:val="center"/>
            <w:hideMark/>
          </w:tcPr>
          <w:p w14:paraId="2BEF848C"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25" w:type="dxa"/>
            <w:tcBorders>
              <w:top w:val="nil"/>
              <w:left w:val="nil"/>
              <w:bottom w:val="single" w:sz="4" w:space="0" w:color="auto"/>
              <w:right w:val="single" w:sz="4" w:space="0" w:color="auto"/>
            </w:tcBorders>
            <w:shd w:val="clear" w:color="auto" w:fill="auto"/>
            <w:vAlign w:val="center"/>
            <w:hideMark/>
          </w:tcPr>
          <w:p w14:paraId="1EBCB3CC"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64" w:type="dxa"/>
            <w:tcBorders>
              <w:top w:val="nil"/>
              <w:left w:val="nil"/>
              <w:bottom w:val="single" w:sz="4" w:space="0" w:color="auto"/>
              <w:right w:val="single" w:sz="4" w:space="0" w:color="auto"/>
            </w:tcBorders>
            <w:shd w:val="clear" w:color="auto" w:fill="auto"/>
            <w:vAlign w:val="center"/>
            <w:hideMark/>
          </w:tcPr>
          <w:p w14:paraId="484A50C8"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49" w:type="dxa"/>
            <w:tcBorders>
              <w:top w:val="nil"/>
              <w:left w:val="nil"/>
              <w:bottom w:val="single" w:sz="4" w:space="0" w:color="auto"/>
              <w:right w:val="single" w:sz="4" w:space="0" w:color="auto"/>
            </w:tcBorders>
            <w:shd w:val="clear" w:color="auto" w:fill="auto"/>
            <w:vAlign w:val="center"/>
            <w:hideMark/>
          </w:tcPr>
          <w:p w14:paraId="6609E0EB"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36" w:type="dxa"/>
            <w:vAlign w:val="center"/>
            <w:hideMark/>
          </w:tcPr>
          <w:p w14:paraId="24069687"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r>
      <w:tr w:rsidR="006423DF" w:rsidRPr="006423DF" w14:paraId="54D3C719" w14:textId="77777777" w:rsidTr="000150F2">
        <w:trPr>
          <w:trHeight w:val="3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ABC4BD2"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54B5A6A2"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UL</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hideMark/>
          </w:tcPr>
          <w:p w14:paraId="57C66B8B"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UL</w:t>
            </w:r>
          </w:p>
        </w:tc>
        <w:tc>
          <w:tcPr>
            <w:tcW w:w="1186" w:type="dxa"/>
            <w:tcBorders>
              <w:top w:val="nil"/>
              <w:left w:val="nil"/>
              <w:bottom w:val="single" w:sz="4" w:space="0" w:color="auto"/>
              <w:right w:val="single" w:sz="4" w:space="0" w:color="auto"/>
            </w:tcBorders>
            <w:shd w:val="clear" w:color="auto" w:fill="auto"/>
            <w:vAlign w:val="center"/>
            <w:hideMark/>
          </w:tcPr>
          <w:p w14:paraId="72189367"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hideMark/>
          </w:tcPr>
          <w:p w14:paraId="33DBC371"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46 dBm</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14:paraId="10E5849E"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Enabled</w:t>
            </w:r>
          </w:p>
        </w:tc>
        <w:tc>
          <w:tcPr>
            <w:tcW w:w="945" w:type="dxa"/>
            <w:vMerge w:val="restart"/>
            <w:tcBorders>
              <w:top w:val="nil"/>
              <w:left w:val="single" w:sz="4" w:space="0" w:color="auto"/>
              <w:bottom w:val="single" w:sz="4" w:space="0" w:color="000000"/>
              <w:right w:val="single" w:sz="4" w:space="0" w:color="auto"/>
            </w:tcBorders>
            <w:shd w:val="clear" w:color="auto" w:fill="auto"/>
            <w:vAlign w:val="center"/>
            <w:hideMark/>
          </w:tcPr>
          <w:p w14:paraId="501D6E93"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46 dBm</w:t>
            </w:r>
          </w:p>
        </w:tc>
        <w:tc>
          <w:tcPr>
            <w:tcW w:w="1424" w:type="dxa"/>
            <w:tcBorders>
              <w:top w:val="nil"/>
              <w:left w:val="nil"/>
              <w:bottom w:val="single" w:sz="4" w:space="0" w:color="auto"/>
              <w:right w:val="single" w:sz="4" w:space="0" w:color="auto"/>
            </w:tcBorders>
            <w:shd w:val="clear" w:color="auto" w:fill="auto"/>
            <w:noWrap/>
            <w:vAlign w:val="center"/>
            <w:hideMark/>
          </w:tcPr>
          <w:p w14:paraId="1427DAB1"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0.03</w:t>
            </w:r>
          </w:p>
        </w:tc>
        <w:tc>
          <w:tcPr>
            <w:tcW w:w="825" w:type="dxa"/>
            <w:tcBorders>
              <w:top w:val="nil"/>
              <w:left w:val="nil"/>
              <w:bottom w:val="single" w:sz="4" w:space="0" w:color="auto"/>
              <w:right w:val="single" w:sz="4" w:space="0" w:color="auto"/>
            </w:tcBorders>
            <w:shd w:val="clear" w:color="auto" w:fill="auto"/>
            <w:noWrap/>
            <w:vAlign w:val="center"/>
            <w:hideMark/>
          </w:tcPr>
          <w:p w14:paraId="57FD713F"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0.15</w:t>
            </w:r>
          </w:p>
        </w:tc>
        <w:tc>
          <w:tcPr>
            <w:tcW w:w="86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0EE5986"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49" w:type="dxa"/>
            <w:tcBorders>
              <w:top w:val="nil"/>
              <w:left w:val="nil"/>
              <w:bottom w:val="single" w:sz="4" w:space="0" w:color="auto"/>
              <w:right w:val="single" w:sz="4" w:space="0" w:color="auto"/>
            </w:tcBorders>
            <w:shd w:val="clear" w:color="auto" w:fill="auto"/>
            <w:noWrap/>
            <w:vAlign w:val="center"/>
            <w:hideMark/>
          </w:tcPr>
          <w:p w14:paraId="42ED4923"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1.92</w:t>
            </w:r>
          </w:p>
        </w:tc>
        <w:tc>
          <w:tcPr>
            <w:tcW w:w="36" w:type="dxa"/>
            <w:vAlign w:val="center"/>
            <w:hideMark/>
          </w:tcPr>
          <w:p w14:paraId="241BAD4A"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r>
      <w:tr w:rsidR="006423DF" w:rsidRPr="006423DF" w14:paraId="4F808F4F" w14:textId="77777777" w:rsidTr="000150F2">
        <w:trPr>
          <w:trHeight w:val="3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B89F467"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44" w:type="dxa"/>
            <w:vMerge/>
            <w:tcBorders>
              <w:top w:val="nil"/>
              <w:left w:val="single" w:sz="4" w:space="0" w:color="auto"/>
              <w:bottom w:val="single" w:sz="4" w:space="0" w:color="auto"/>
              <w:right w:val="single" w:sz="4" w:space="0" w:color="auto"/>
            </w:tcBorders>
            <w:vAlign w:val="center"/>
            <w:hideMark/>
          </w:tcPr>
          <w:p w14:paraId="567209F4"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4" w:type="dxa"/>
            <w:vMerge/>
            <w:tcBorders>
              <w:top w:val="nil"/>
              <w:left w:val="single" w:sz="4" w:space="0" w:color="auto"/>
              <w:bottom w:val="single" w:sz="4" w:space="0" w:color="auto"/>
              <w:right w:val="single" w:sz="4" w:space="0" w:color="auto"/>
            </w:tcBorders>
            <w:vAlign w:val="center"/>
            <w:hideMark/>
          </w:tcPr>
          <w:p w14:paraId="6FF4BD1D"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1B07FBD2"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74" w:type="dxa"/>
            <w:vMerge/>
            <w:tcBorders>
              <w:top w:val="nil"/>
              <w:left w:val="single" w:sz="4" w:space="0" w:color="auto"/>
              <w:bottom w:val="single" w:sz="4" w:space="0" w:color="auto"/>
              <w:right w:val="single" w:sz="4" w:space="0" w:color="auto"/>
            </w:tcBorders>
            <w:vAlign w:val="center"/>
            <w:hideMark/>
          </w:tcPr>
          <w:p w14:paraId="1C546B8D"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3" w:type="dxa"/>
            <w:vMerge/>
            <w:tcBorders>
              <w:top w:val="nil"/>
              <w:left w:val="single" w:sz="4" w:space="0" w:color="auto"/>
              <w:bottom w:val="single" w:sz="4" w:space="0" w:color="auto"/>
              <w:right w:val="single" w:sz="4" w:space="0" w:color="auto"/>
            </w:tcBorders>
            <w:vAlign w:val="center"/>
            <w:hideMark/>
          </w:tcPr>
          <w:p w14:paraId="6DAEC5E7"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5" w:type="dxa"/>
            <w:vMerge/>
            <w:tcBorders>
              <w:top w:val="nil"/>
              <w:left w:val="single" w:sz="4" w:space="0" w:color="auto"/>
              <w:bottom w:val="single" w:sz="4" w:space="0" w:color="000000"/>
              <w:right w:val="single" w:sz="4" w:space="0" w:color="auto"/>
            </w:tcBorders>
            <w:vAlign w:val="center"/>
            <w:hideMark/>
          </w:tcPr>
          <w:p w14:paraId="64EB2C45"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1424" w:type="dxa"/>
            <w:tcBorders>
              <w:top w:val="nil"/>
              <w:left w:val="nil"/>
              <w:bottom w:val="single" w:sz="4" w:space="0" w:color="auto"/>
              <w:right w:val="single" w:sz="4" w:space="0" w:color="auto"/>
            </w:tcBorders>
            <w:shd w:val="clear" w:color="auto" w:fill="auto"/>
            <w:noWrap/>
            <w:vAlign w:val="center"/>
            <w:hideMark/>
          </w:tcPr>
          <w:p w14:paraId="2D0E4EED"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0.09</w:t>
            </w:r>
          </w:p>
        </w:tc>
        <w:tc>
          <w:tcPr>
            <w:tcW w:w="825" w:type="dxa"/>
            <w:tcBorders>
              <w:top w:val="nil"/>
              <w:left w:val="nil"/>
              <w:bottom w:val="single" w:sz="4" w:space="0" w:color="auto"/>
              <w:right w:val="single" w:sz="4" w:space="0" w:color="auto"/>
            </w:tcBorders>
            <w:shd w:val="clear" w:color="auto" w:fill="auto"/>
            <w:noWrap/>
            <w:vAlign w:val="center"/>
            <w:hideMark/>
          </w:tcPr>
          <w:p w14:paraId="18F6973E"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0.06</w:t>
            </w:r>
          </w:p>
        </w:tc>
        <w:tc>
          <w:tcPr>
            <w:tcW w:w="86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714E164"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49" w:type="dxa"/>
            <w:tcBorders>
              <w:top w:val="nil"/>
              <w:left w:val="nil"/>
              <w:bottom w:val="single" w:sz="4" w:space="0" w:color="auto"/>
              <w:right w:val="single" w:sz="4" w:space="0" w:color="auto"/>
            </w:tcBorders>
            <w:shd w:val="clear" w:color="auto" w:fill="auto"/>
            <w:noWrap/>
            <w:vAlign w:val="center"/>
            <w:hideMark/>
          </w:tcPr>
          <w:p w14:paraId="07179831"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w:t>
            </w:r>
          </w:p>
        </w:tc>
        <w:tc>
          <w:tcPr>
            <w:tcW w:w="36" w:type="dxa"/>
            <w:vAlign w:val="center"/>
            <w:hideMark/>
          </w:tcPr>
          <w:p w14:paraId="2F3641A1"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r>
      <w:tr w:rsidR="006423DF" w:rsidRPr="00DF4A19" w14:paraId="2AFEA65D" w14:textId="77777777" w:rsidTr="000150F2">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206B107"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25C21F87"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w:t>
            </w:r>
          </w:p>
        </w:tc>
        <w:tc>
          <w:tcPr>
            <w:tcW w:w="874" w:type="dxa"/>
            <w:vMerge/>
            <w:tcBorders>
              <w:top w:val="nil"/>
              <w:left w:val="single" w:sz="4" w:space="0" w:color="auto"/>
              <w:bottom w:val="single" w:sz="4" w:space="0" w:color="auto"/>
              <w:right w:val="single" w:sz="4" w:space="0" w:color="auto"/>
            </w:tcBorders>
            <w:vAlign w:val="center"/>
            <w:hideMark/>
          </w:tcPr>
          <w:p w14:paraId="23404A8C"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7478A1CA"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Same gain as TDD</w:t>
            </w:r>
          </w:p>
        </w:tc>
        <w:tc>
          <w:tcPr>
            <w:tcW w:w="874" w:type="dxa"/>
            <w:vMerge/>
            <w:tcBorders>
              <w:top w:val="nil"/>
              <w:left w:val="single" w:sz="4" w:space="0" w:color="auto"/>
              <w:bottom w:val="single" w:sz="4" w:space="0" w:color="auto"/>
              <w:right w:val="single" w:sz="4" w:space="0" w:color="auto"/>
            </w:tcBorders>
            <w:vAlign w:val="center"/>
            <w:hideMark/>
          </w:tcPr>
          <w:p w14:paraId="52E3C6C8"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3" w:type="dxa"/>
            <w:vMerge/>
            <w:tcBorders>
              <w:top w:val="nil"/>
              <w:left w:val="single" w:sz="4" w:space="0" w:color="auto"/>
              <w:bottom w:val="single" w:sz="4" w:space="0" w:color="auto"/>
              <w:right w:val="single" w:sz="4" w:space="0" w:color="auto"/>
            </w:tcBorders>
            <w:vAlign w:val="center"/>
            <w:hideMark/>
          </w:tcPr>
          <w:p w14:paraId="074DBF00"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5" w:type="dxa"/>
            <w:vMerge w:val="restart"/>
            <w:tcBorders>
              <w:top w:val="nil"/>
              <w:left w:val="single" w:sz="4" w:space="0" w:color="auto"/>
              <w:bottom w:val="single" w:sz="4" w:space="0" w:color="000000"/>
              <w:right w:val="single" w:sz="4" w:space="0" w:color="auto"/>
            </w:tcBorders>
            <w:shd w:val="clear" w:color="auto" w:fill="auto"/>
            <w:vAlign w:val="center"/>
            <w:hideMark/>
          </w:tcPr>
          <w:p w14:paraId="4CA51C65"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46 dBm</w:t>
            </w:r>
          </w:p>
        </w:tc>
        <w:tc>
          <w:tcPr>
            <w:tcW w:w="1424" w:type="dxa"/>
            <w:tcBorders>
              <w:top w:val="nil"/>
              <w:left w:val="nil"/>
              <w:bottom w:val="single" w:sz="4" w:space="0" w:color="auto"/>
              <w:right w:val="single" w:sz="4" w:space="0" w:color="auto"/>
            </w:tcBorders>
            <w:shd w:val="clear" w:color="auto" w:fill="auto"/>
            <w:noWrap/>
            <w:vAlign w:val="center"/>
            <w:hideMark/>
          </w:tcPr>
          <w:p w14:paraId="753F2DC6"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0.98</w:t>
            </w:r>
          </w:p>
        </w:tc>
        <w:tc>
          <w:tcPr>
            <w:tcW w:w="825" w:type="dxa"/>
            <w:tcBorders>
              <w:top w:val="nil"/>
              <w:left w:val="nil"/>
              <w:bottom w:val="single" w:sz="4" w:space="0" w:color="auto"/>
              <w:right w:val="single" w:sz="4" w:space="0" w:color="auto"/>
            </w:tcBorders>
            <w:shd w:val="clear" w:color="auto" w:fill="auto"/>
            <w:noWrap/>
            <w:vAlign w:val="center"/>
            <w:hideMark/>
          </w:tcPr>
          <w:p w14:paraId="13CBF207"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1.33</w:t>
            </w:r>
          </w:p>
        </w:tc>
        <w:tc>
          <w:tcPr>
            <w:tcW w:w="86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210BC01"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4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7093474"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9.26</w:t>
            </w:r>
          </w:p>
        </w:tc>
        <w:tc>
          <w:tcPr>
            <w:tcW w:w="36" w:type="dxa"/>
            <w:vAlign w:val="center"/>
            <w:hideMark/>
          </w:tcPr>
          <w:p w14:paraId="272E0190"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r>
      <w:tr w:rsidR="006423DF" w:rsidRPr="00DF4A19" w14:paraId="47057929" w14:textId="77777777" w:rsidTr="000150F2">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6410858"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44" w:type="dxa"/>
            <w:vMerge/>
            <w:tcBorders>
              <w:top w:val="nil"/>
              <w:left w:val="single" w:sz="4" w:space="0" w:color="auto"/>
              <w:bottom w:val="single" w:sz="4" w:space="0" w:color="auto"/>
              <w:right w:val="single" w:sz="4" w:space="0" w:color="auto"/>
            </w:tcBorders>
            <w:vAlign w:val="center"/>
            <w:hideMark/>
          </w:tcPr>
          <w:p w14:paraId="07E9C12F"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4" w:type="dxa"/>
            <w:vMerge/>
            <w:tcBorders>
              <w:top w:val="nil"/>
              <w:left w:val="single" w:sz="4" w:space="0" w:color="auto"/>
              <w:bottom w:val="single" w:sz="4" w:space="0" w:color="auto"/>
              <w:right w:val="single" w:sz="4" w:space="0" w:color="auto"/>
            </w:tcBorders>
            <w:vAlign w:val="center"/>
            <w:hideMark/>
          </w:tcPr>
          <w:p w14:paraId="2DA4D7CE"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27F7C85D" w14:textId="77777777" w:rsidR="000150F2" w:rsidRPr="00B334F7" w:rsidRDefault="000150F2" w:rsidP="000150F2">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Same gain as TDD</w:t>
            </w:r>
          </w:p>
        </w:tc>
        <w:tc>
          <w:tcPr>
            <w:tcW w:w="874" w:type="dxa"/>
            <w:vMerge/>
            <w:tcBorders>
              <w:top w:val="nil"/>
              <w:left w:val="single" w:sz="4" w:space="0" w:color="auto"/>
              <w:bottom w:val="single" w:sz="4" w:space="0" w:color="auto"/>
              <w:right w:val="single" w:sz="4" w:space="0" w:color="auto"/>
            </w:tcBorders>
            <w:vAlign w:val="center"/>
            <w:hideMark/>
          </w:tcPr>
          <w:p w14:paraId="67CE590C"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3" w:type="dxa"/>
            <w:vMerge/>
            <w:tcBorders>
              <w:top w:val="nil"/>
              <w:left w:val="single" w:sz="4" w:space="0" w:color="auto"/>
              <w:bottom w:val="single" w:sz="4" w:space="0" w:color="auto"/>
              <w:right w:val="single" w:sz="4" w:space="0" w:color="auto"/>
            </w:tcBorders>
            <w:vAlign w:val="center"/>
            <w:hideMark/>
          </w:tcPr>
          <w:p w14:paraId="723B0337"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5" w:type="dxa"/>
            <w:vMerge/>
            <w:tcBorders>
              <w:top w:val="nil"/>
              <w:left w:val="single" w:sz="4" w:space="0" w:color="auto"/>
              <w:bottom w:val="single" w:sz="4" w:space="0" w:color="000000"/>
              <w:right w:val="single" w:sz="4" w:space="0" w:color="auto"/>
            </w:tcBorders>
            <w:vAlign w:val="center"/>
            <w:hideMark/>
          </w:tcPr>
          <w:p w14:paraId="5CF7375C"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c>
          <w:tcPr>
            <w:tcW w:w="1424" w:type="dxa"/>
            <w:tcBorders>
              <w:top w:val="nil"/>
              <w:left w:val="nil"/>
              <w:bottom w:val="single" w:sz="4" w:space="0" w:color="auto"/>
              <w:right w:val="single" w:sz="4" w:space="0" w:color="auto"/>
            </w:tcBorders>
            <w:shd w:val="clear" w:color="auto" w:fill="auto"/>
            <w:noWrap/>
            <w:vAlign w:val="center"/>
            <w:hideMark/>
          </w:tcPr>
          <w:p w14:paraId="1313B14C"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Receiver blocked</w:t>
            </w:r>
          </w:p>
        </w:tc>
        <w:tc>
          <w:tcPr>
            <w:tcW w:w="825" w:type="dxa"/>
            <w:tcBorders>
              <w:top w:val="nil"/>
              <w:left w:val="nil"/>
              <w:bottom w:val="single" w:sz="4" w:space="0" w:color="auto"/>
              <w:right w:val="single" w:sz="4" w:space="0" w:color="auto"/>
            </w:tcBorders>
            <w:shd w:val="clear" w:color="auto" w:fill="auto"/>
            <w:noWrap/>
            <w:vAlign w:val="center"/>
            <w:hideMark/>
          </w:tcPr>
          <w:p w14:paraId="75856129"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5.88</w:t>
            </w:r>
          </w:p>
        </w:tc>
        <w:tc>
          <w:tcPr>
            <w:tcW w:w="86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8ED56B6"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4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4243E7C" w14:textId="77777777" w:rsidR="000150F2" w:rsidRPr="00B334F7" w:rsidRDefault="000150F2" w:rsidP="000150F2">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39.9</w:t>
            </w:r>
          </w:p>
        </w:tc>
        <w:tc>
          <w:tcPr>
            <w:tcW w:w="36" w:type="dxa"/>
            <w:vAlign w:val="center"/>
            <w:hideMark/>
          </w:tcPr>
          <w:p w14:paraId="5D7E07FE" w14:textId="77777777" w:rsidR="000150F2" w:rsidRPr="00B334F7" w:rsidRDefault="000150F2" w:rsidP="000150F2">
            <w:pPr>
              <w:overflowPunct/>
              <w:autoSpaceDE/>
              <w:autoSpaceDN/>
              <w:adjustRightInd/>
              <w:spacing w:after="0"/>
              <w:textAlignment w:val="auto"/>
              <w:rPr>
                <w:rFonts w:ascii="Times New Roman" w:eastAsia="Times New Roman" w:hAnsi="Times New Roman" w:cs="Times New Roman"/>
                <w:sz w:val="16"/>
                <w:szCs w:val="16"/>
                <w:lang w:val="en-US"/>
              </w:rPr>
            </w:pPr>
          </w:p>
        </w:tc>
      </w:tr>
    </w:tbl>
    <w:p w14:paraId="32F22AA4" w14:textId="77777777" w:rsidR="005052DF" w:rsidRDefault="005052DF" w:rsidP="005052DF">
      <w:pPr>
        <w:rPr>
          <w:lang w:val="en-US"/>
        </w:rPr>
      </w:pPr>
    </w:p>
    <w:p w14:paraId="73682801" w14:textId="76CC6AB7" w:rsidR="000D6448" w:rsidRPr="00BE5EE3" w:rsidRDefault="000D6448" w:rsidP="000D6448">
      <w:pPr>
        <w:rPr>
          <w:lang w:val="en-US"/>
        </w:rPr>
      </w:pPr>
      <w:r>
        <w:rPr>
          <w:lang w:val="en-US"/>
        </w:rPr>
        <w:t>Based on the results shown above, we conclude the following proposals for this scenario and case:</w:t>
      </w:r>
    </w:p>
    <w:p w14:paraId="70958305" w14:textId="429A1011" w:rsidR="00567596" w:rsidRDefault="000D6448" w:rsidP="00BE5EE3">
      <w:pPr>
        <w:rPr>
          <w:lang w:val="en-US"/>
        </w:rPr>
      </w:pPr>
      <w:r w:rsidRPr="009D3E26">
        <w:rPr>
          <w:b/>
          <w:bCs/>
        </w:rPr>
        <w:t xml:space="preserve">Proposal </w:t>
      </w:r>
      <w:r w:rsidR="006423DF">
        <w:rPr>
          <w:b/>
          <w:bCs/>
        </w:rPr>
        <w:t>10</w:t>
      </w:r>
      <w:r w:rsidRPr="009D3E26">
        <w:rPr>
          <w:b/>
          <w:bCs/>
        </w:rPr>
        <w:t xml:space="preserve">: </w:t>
      </w:r>
      <w:r w:rsidR="00494231" w:rsidRPr="00D255A4">
        <w:rPr>
          <w:b/>
          <w:bCs/>
        </w:rPr>
        <w:t>The performance degradation for U</w:t>
      </w:r>
      <w:r w:rsidR="00494231">
        <w:rPr>
          <w:b/>
          <w:bCs/>
        </w:rPr>
        <w:t xml:space="preserve">Mi-to-UMi </w:t>
      </w:r>
      <w:r w:rsidR="00494231" w:rsidRPr="00D255A4">
        <w:rPr>
          <w:b/>
          <w:bCs/>
        </w:rPr>
        <w:t>Case 2 is not acceptable when SBFD is adopted</w:t>
      </w:r>
      <w:r w:rsidR="00494231">
        <w:rPr>
          <w:b/>
          <w:bCs/>
        </w:rPr>
        <w:t xml:space="preserve"> at the aggressor network. T</w:t>
      </w:r>
      <w:r w:rsidR="00494231" w:rsidRPr="00D255A4">
        <w:rPr>
          <w:b/>
          <w:bCs/>
        </w:rPr>
        <w:t>herefore, the operation on SBFD during TDD UL symbols/slots in the victim network is not recommended.</w:t>
      </w:r>
    </w:p>
    <w:p w14:paraId="4FFB20AF" w14:textId="34014204" w:rsidR="00013DB8" w:rsidRDefault="00013DB8" w:rsidP="00013DB8">
      <w:pPr>
        <w:pStyle w:val="Heading4"/>
        <w:rPr>
          <w:lang w:val="en-US"/>
        </w:rPr>
      </w:pPr>
      <w:r w:rsidRPr="00CF0417">
        <w:rPr>
          <w:lang w:val="en-US"/>
        </w:rPr>
        <w:t>3.</w:t>
      </w:r>
      <w:r>
        <w:rPr>
          <w:lang w:val="en-US"/>
        </w:rPr>
        <w:t>2</w:t>
      </w:r>
      <w:r w:rsidRPr="00CF0417">
        <w:rPr>
          <w:lang w:val="en-US"/>
        </w:rPr>
        <w:t>.</w:t>
      </w:r>
      <w:r>
        <w:rPr>
          <w:lang w:val="en-US"/>
        </w:rPr>
        <w:t>5</w:t>
      </w:r>
      <w:r w:rsidRPr="00CF0417">
        <w:rPr>
          <w:lang w:val="en-US"/>
        </w:rPr>
        <w:t xml:space="preserve"> </w:t>
      </w:r>
      <w:r>
        <w:rPr>
          <w:lang w:val="en-US"/>
        </w:rPr>
        <w:t xml:space="preserve">Scenario 6: </w:t>
      </w:r>
      <w:r w:rsidRPr="00CF0417">
        <w:rPr>
          <w:lang w:val="en-US"/>
        </w:rPr>
        <w:t>FR</w:t>
      </w:r>
      <w:r>
        <w:rPr>
          <w:lang w:val="en-US"/>
        </w:rPr>
        <w:t>2-1</w:t>
      </w:r>
      <w:r w:rsidRPr="00CF0417">
        <w:rPr>
          <w:lang w:val="en-US"/>
        </w:rPr>
        <w:t xml:space="preserve"> U</w:t>
      </w:r>
      <w:r>
        <w:rPr>
          <w:lang w:val="en-US"/>
        </w:rPr>
        <w:t>rban Macro</w:t>
      </w:r>
    </w:p>
    <w:p w14:paraId="4E68431A" w14:textId="574A00B6" w:rsidR="00380F84" w:rsidRDefault="00D365CD" w:rsidP="00380F84">
      <w:pPr>
        <w:rPr>
          <w:lang w:val="en-US"/>
        </w:rPr>
      </w:pPr>
      <w:r>
        <w:rPr>
          <w:lang w:val="en-US"/>
        </w:rPr>
        <w:fldChar w:fldCharType="begin"/>
      </w:r>
      <w:r>
        <w:rPr>
          <w:lang w:val="en-US"/>
        </w:rPr>
        <w:instrText xml:space="preserve"> REF _Ref146704478 \h </w:instrText>
      </w:r>
      <w:r>
        <w:rPr>
          <w:lang w:val="en-US"/>
        </w:rPr>
      </w:r>
      <w:r>
        <w:rPr>
          <w:lang w:val="en-US"/>
        </w:rPr>
        <w:fldChar w:fldCharType="separate"/>
      </w:r>
      <w:r w:rsidR="004D336C">
        <w:t xml:space="preserve">Figure </w:t>
      </w:r>
      <w:r w:rsidR="004D336C">
        <w:rPr>
          <w:noProof/>
        </w:rPr>
        <w:t>10</w:t>
      </w:r>
      <w:r>
        <w:rPr>
          <w:lang w:val="en-US"/>
        </w:rPr>
        <w:fldChar w:fldCharType="end"/>
      </w:r>
      <w:r>
        <w:rPr>
          <w:lang w:val="en-US"/>
        </w:rPr>
        <w:t xml:space="preserve"> </w:t>
      </w:r>
      <w:r w:rsidR="00380F84" w:rsidRPr="005B4A37">
        <w:rPr>
          <w:lang w:val="en-US"/>
        </w:rPr>
        <w:t xml:space="preserve">shows the </w:t>
      </w:r>
      <w:r w:rsidR="00380F84">
        <w:rPr>
          <w:lang w:val="en-US"/>
        </w:rPr>
        <w:t>victim U</w:t>
      </w:r>
      <w:r w:rsidR="00380F84" w:rsidRPr="005B4A37">
        <w:rPr>
          <w:lang w:val="en-US"/>
        </w:rPr>
        <w:t>L SINR at 5</w:t>
      </w:r>
      <w:r w:rsidR="00380F84" w:rsidRPr="00EF7212">
        <w:rPr>
          <w:vertAlign w:val="superscript"/>
          <w:lang w:val="en-US"/>
        </w:rPr>
        <w:t>th</w:t>
      </w:r>
      <w:r w:rsidR="00380F84" w:rsidRPr="005B4A37">
        <w:rPr>
          <w:lang w:val="en-US"/>
        </w:rPr>
        <w:t xml:space="preserve"> and 50</w:t>
      </w:r>
      <w:r w:rsidR="00380F84" w:rsidRPr="00EF7212">
        <w:rPr>
          <w:vertAlign w:val="superscript"/>
          <w:lang w:val="en-US"/>
        </w:rPr>
        <w:t>th</w:t>
      </w:r>
      <w:r w:rsidR="00380F84" w:rsidRPr="005B4A37">
        <w:rPr>
          <w:lang w:val="en-US"/>
        </w:rPr>
        <w:t xml:space="preserve"> percentiles </w:t>
      </w:r>
      <w:r w:rsidR="00380F84">
        <w:rPr>
          <w:lang w:val="en-US"/>
        </w:rPr>
        <w:t>and the victim UL throughput at 5</w:t>
      </w:r>
      <w:r w:rsidR="00380F84" w:rsidRPr="009703BE">
        <w:rPr>
          <w:vertAlign w:val="superscript"/>
          <w:lang w:val="en-US"/>
        </w:rPr>
        <w:t>th</w:t>
      </w:r>
      <w:r w:rsidR="00380F84">
        <w:rPr>
          <w:lang w:val="en-US"/>
        </w:rPr>
        <w:t xml:space="preserve"> percentile and average for different grid offset. The figure includes</w:t>
      </w:r>
      <w:r w:rsidR="00380F84" w:rsidRPr="005B4A37">
        <w:rPr>
          <w:lang w:val="en-US"/>
        </w:rPr>
        <w:t xml:space="preserve"> cases </w:t>
      </w:r>
      <w:r w:rsidR="00380F84">
        <w:rPr>
          <w:lang w:val="en-US"/>
        </w:rPr>
        <w:t>with</w:t>
      </w:r>
      <w:r w:rsidR="00380F84" w:rsidRPr="005B4A37">
        <w:rPr>
          <w:lang w:val="en-US"/>
        </w:rPr>
        <w:t xml:space="preserve"> no </w:t>
      </w:r>
      <w:r w:rsidR="00380F84">
        <w:rPr>
          <w:lang w:val="en-US"/>
        </w:rPr>
        <w:t>adjacent channel interference (ACI)</w:t>
      </w:r>
      <w:r w:rsidR="00380F84" w:rsidRPr="005B4A37">
        <w:rPr>
          <w:lang w:val="en-US"/>
        </w:rPr>
        <w:t xml:space="preserve">, and when ACI is generated by TDD </w:t>
      </w:r>
      <w:r w:rsidR="00380F84">
        <w:rPr>
          <w:lang w:val="en-US"/>
        </w:rPr>
        <w:t>U</w:t>
      </w:r>
      <w:r w:rsidR="00380F84" w:rsidRPr="005B4A37">
        <w:rPr>
          <w:lang w:val="en-US"/>
        </w:rPr>
        <w:t>L or SBFD</w:t>
      </w:r>
      <w:r w:rsidR="00380F84">
        <w:rPr>
          <w:lang w:val="en-US"/>
        </w:rPr>
        <w:t xml:space="preserve">. </w:t>
      </w:r>
      <w:r w:rsidR="00560A72">
        <w:rPr>
          <w:lang w:val="en-US"/>
        </w:rPr>
        <w:t xml:space="preserve">Here, the focus is on SBFD antenna configuration option 2 and BS transmit power </w:t>
      </w:r>
      <w:r w:rsidR="006F447F">
        <w:rPr>
          <w:lang w:val="en-US"/>
        </w:rPr>
        <w:t xml:space="preserve">option 1 (SBFD BS Tx power = 27 dBm). Looking at the results, we can conclude that the degradation is quite low for all the considered cases. </w:t>
      </w:r>
      <w:r w:rsidR="008E0DBB">
        <w:rPr>
          <w:lang w:val="en-US"/>
        </w:rPr>
        <w:t>The effect of the BS-to-BS ACI is visible at the 5</w:t>
      </w:r>
      <w:r w:rsidR="008E0DBB" w:rsidRPr="00B334F7">
        <w:rPr>
          <w:vertAlign w:val="superscript"/>
          <w:lang w:val="en-US"/>
        </w:rPr>
        <w:t>th</w:t>
      </w:r>
      <w:r w:rsidR="008E0DBB">
        <w:rPr>
          <w:lang w:val="en-US"/>
        </w:rPr>
        <w:t xml:space="preserve"> percentile but impact on the UL SINR is low. The same trends </w:t>
      </w:r>
      <w:r w:rsidR="002814F7">
        <w:rPr>
          <w:lang w:val="en-US"/>
        </w:rPr>
        <w:t>apply</w:t>
      </w:r>
      <w:r w:rsidR="008E0DBB">
        <w:rPr>
          <w:lang w:val="en-US"/>
        </w:rPr>
        <w:t xml:space="preserve"> also for 10% grid shift.</w:t>
      </w:r>
      <w:r w:rsidR="002814F7">
        <w:rPr>
          <w:lang w:val="en-US"/>
        </w:rPr>
        <w:t xml:space="preserve"> This behavior is different from the previous FR1 results. The reason is the high directional antennas for FR2-1 which directly points to the LOS direction of the serving UEs. This minimizes the BS-to-BS ACI and therefore the degradation is kept low.</w:t>
      </w:r>
    </w:p>
    <w:p w14:paraId="79BEEA91" w14:textId="77777777" w:rsidR="00380F84" w:rsidRPr="00380F84" w:rsidRDefault="00380F84" w:rsidP="00B334F7">
      <w:pPr>
        <w:rPr>
          <w:lang w:val="en-US"/>
        </w:rPr>
      </w:pPr>
    </w:p>
    <w:p w14:paraId="23A5C160" w14:textId="77777777" w:rsidR="00FD100E" w:rsidRDefault="00CF0CF3" w:rsidP="00B334F7">
      <w:pPr>
        <w:keepNext/>
        <w:jc w:val="center"/>
      </w:pPr>
      <w:r w:rsidRPr="00CF0CF3">
        <w:rPr>
          <w:noProof/>
          <w:lang w:val="en-US"/>
        </w:rPr>
        <w:drawing>
          <wp:inline distT="0" distB="0" distL="0" distR="0" wp14:anchorId="235D660D" wp14:editId="6A2A532A">
            <wp:extent cx="5236234" cy="3579963"/>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rotWithShape="1">
                    <a:blip r:embed="rId22">
                      <a:extLst>
                        <a:ext uri="{28A0092B-C50C-407E-A947-70E740481C1C}">
                          <a14:useLocalDpi xmlns:a14="http://schemas.microsoft.com/office/drawing/2010/main" val="0"/>
                        </a:ext>
                      </a:extLst>
                    </a:blip>
                    <a:srcRect l="7336" t="3514" r="7036" b="5324"/>
                    <a:stretch/>
                  </pic:blipFill>
                  <pic:spPr bwMode="auto">
                    <a:xfrm>
                      <a:off x="0" y="0"/>
                      <a:ext cx="5236796" cy="3580348"/>
                    </a:xfrm>
                    <a:prstGeom prst="rect">
                      <a:avLst/>
                    </a:prstGeom>
                    <a:noFill/>
                    <a:ln>
                      <a:noFill/>
                    </a:ln>
                    <a:extLst>
                      <a:ext uri="{53640926-AAD7-44D8-BBD7-CCE9431645EC}">
                        <a14:shadowObscured xmlns:a14="http://schemas.microsoft.com/office/drawing/2010/main"/>
                      </a:ext>
                    </a:extLst>
                  </pic:spPr>
                </pic:pic>
              </a:graphicData>
            </a:graphic>
          </wp:inline>
        </w:drawing>
      </w:r>
    </w:p>
    <w:p w14:paraId="51F8204A" w14:textId="0FB2D329" w:rsidR="00FD100E" w:rsidRPr="009D3E26" w:rsidRDefault="00FD100E" w:rsidP="00FD100E">
      <w:pPr>
        <w:pStyle w:val="Caption"/>
        <w:jc w:val="center"/>
      </w:pPr>
      <w:bookmarkStart w:id="31" w:name="_Ref146704478"/>
      <w:r>
        <w:t xml:space="preserve">Figure </w:t>
      </w:r>
      <w:r>
        <w:fldChar w:fldCharType="begin"/>
      </w:r>
      <w:r>
        <w:instrText xml:space="preserve"> SEQ Figure \* ARABIC </w:instrText>
      </w:r>
      <w:r>
        <w:fldChar w:fldCharType="separate"/>
      </w:r>
      <w:r w:rsidR="004D336C">
        <w:rPr>
          <w:noProof/>
        </w:rPr>
        <w:t>10</w:t>
      </w:r>
      <w:r>
        <w:fldChar w:fldCharType="end"/>
      </w:r>
      <w:bookmarkEnd w:id="31"/>
      <w:r>
        <w:t>. Comparison of UL SINR and UL throughput for Case 1 Urban Macro FR2-1 scenario</w:t>
      </w:r>
    </w:p>
    <w:p w14:paraId="593916F8" w14:textId="36FBA4CE" w:rsidR="00013DB8" w:rsidRDefault="00013DB8" w:rsidP="00FD100E">
      <w:pPr>
        <w:pStyle w:val="Caption"/>
        <w:jc w:val="center"/>
        <w:rPr>
          <w:lang w:val="en-US"/>
        </w:rPr>
      </w:pPr>
    </w:p>
    <w:p w14:paraId="63BBF6BE" w14:textId="2561D66C" w:rsidR="00D97BE5" w:rsidRDefault="009C520E" w:rsidP="00D97BE5">
      <w:pPr>
        <w:rPr>
          <w:lang w:val="en-US"/>
        </w:rPr>
      </w:pPr>
      <w:r>
        <w:rPr>
          <w:lang w:val="en-US"/>
        </w:rPr>
        <w:fldChar w:fldCharType="begin"/>
      </w:r>
      <w:r>
        <w:rPr>
          <w:lang w:val="en-US"/>
        </w:rPr>
        <w:instrText xml:space="preserve"> REF _Ref146704438 \h </w:instrText>
      </w:r>
      <w:r>
        <w:rPr>
          <w:lang w:val="en-US"/>
        </w:rPr>
      </w:r>
      <w:r>
        <w:rPr>
          <w:lang w:val="en-US"/>
        </w:rPr>
        <w:fldChar w:fldCharType="separate"/>
      </w:r>
      <w:r w:rsidR="004D336C">
        <w:t xml:space="preserve">Table </w:t>
      </w:r>
      <w:r w:rsidR="004D336C">
        <w:rPr>
          <w:noProof/>
        </w:rPr>
        <w:t>10</w:t>
      </w:r>
      <w:r>
        <w:rPr>
          <w:lang w:val="en-US"/>
        </w:rPr>
        <w:fldChar w:fldCharType="end"/>
      </w:r>
      <w:r>
        <w:rPr>
          <w:lang w:val="en-US"/>
        </w:rPr>
        <w:t xml:space="preserve"> </w:t>
      </w:r>
      <w:r w:rsidR="00D97BE5">
        <w:rPr>
          <w:lang w:val="en-US"/>
        </w:rPr>
        <w:t xml:space="preserve">includes the coexistence performance summary </w:t>
      </w:r>
      <w:r w:rsidR="00B36392">
        <w:rPr>
          <w:lang w:val="en-US"/>
        </w:rPr>
        <w:t>for this case.</w:t>
      </w:r>
      <w:r w:rsidR="00D97BE5">
        <w:rPr>
          <w:lang w:val="en-US"/>
        </w:rPr>
        <w:t xml:space="preserve"> The table includes different grid offsets</w:t>
      </w:r>
      <w:r w:rsidR="00104F64">
        <w:rPr>
          <w:lang w:val="en-US"/>
        </w:rPr>
        <w:t xml:space="preserve"> and SBFD antenna </w:t>
      </w:r>
      <w:r w:rsidR="006C4B7C">
        <w:rPr>
          <w:lang w:val="en-US"/>
        </w:rPr>
        <w:t xml:space="preserve">configurations, and it </w:t>
      </w:r>
      <w:r w:rsidR="00D97BE5">
        <w:rPr>
          <w:lang w:val="en-US"/>
        </w:rPr>
        <w:t xml:space="preserve">highlights the throughput degradation values above 5%. </w:t>
      </w:r>
      <w:r w:rsidR="00104F64">
        <w:rPr>
          <w:lang w:val="en-US"/>
        </w:rPr>
        <w:t xml:space="preserve">From the table we conclude that </w:t>
      </w:r>
      <w:r w:rsidR="006C4B7C">
        <w:rPr>
          <w:lang w:val="en-US"/>
        </w:rPr>
        <w:t>TDD UL coexists well with both TDD UL and SBFD. The conclusion is valid for both types of antenna BS configuration and grid shifts.</w:t>
      </w:r>
    </w:p>
    <w:p w14:paraId="2CCAB677" w14:textId="77777777" w:rsidR="005A15DC" w:rsidRDefault="005A15DC" w:rsidP="00D97BE5">
      <w:pPr>
        <w:rPr>
          <w:lang w:val="en-US"/>
        </w:rPr>
      </w:pPr>
    </w:p>
    <w:p w14:paraId="06B25520" w14:textId="22397B40" w:rsidR="0003383D" w:rsidRDefault="0003383D" w:rsidP="00B334F7">
      <w:pPr>
        <w:pStyle w:val="Caption"/>
        <w:keepNext/>
      </w:pPr>
      <w:bookmarkStart w:id="32" w:name="_Ref146704438"/>
      <w:r>
        <w:t xml:space="preserve">Table </w:t>
      </w:r>
      <w:r>
        <w:fldChar w:fldCharType="begin"/>
      </w:r>
      <w:r>
        <w:instrText xml:space="preserve"> SEQ Table \* ARABIC </w:instrText>
      </w:r>
      <w:r>
        <w:fldChar w:fldCharType="separate"/>
      </w:r>
      <w:r w:rsidR="004D336C">
        <w:rPr>
          <w:noProof/>
        </w:rPr>
        <w:t>10</w:t>
      </w:r>
      <w:r>
        <w:fldChar w:fldCharType="end"/>
      </w:r>
      <w:bookmarkEnd w:id="32"/>
      <w:r>
        <w:t xml:space="preserve">. </w:t>
      </w:r>
      <w:r w:rsidR="00B26721">
        <w:t>Performance summary for Case 2 Urban Macro FR2-1 scenario</w:t>
      </w:r>
    </w:p>
    <w:tbl>
      <w:tblPr>
        <w:tblW w:w="9940" w:type="dxa"/>
        <w:tblLook w:val="04A0" w:firstRow="1" w:lastRow="0" w:firstColumn="1" w:lastColumn="0" w:noHBand="0" w:noVBand="1"/>
      </w:tblPr>
      <w:tblGrid>
        <w:gridCol w:w="859"/>
        <w:gridCol w:w="910"/>
        <w:gridCol w:w="872"/>
        <w:gridCol w:w="1141"/>
        <w:gridCol w:w="872"/>
        <w:gridCol w:w="871"/>
        <w:gridCol w:w="910"/>
        <w:gridCol w:w="874"/>
        <w:gridCol w:w="877"/>
        <w:gridCol w:w="877"/>
        <w:gridCol w:w="877"/>
      </w:tblGrid>
      <w:tr w:rsidR="0003383D" w:rsidRPr="0003383D" w14:paraId="2F73C6BB" w14:textId="77777777" w:rsidTr="00B334F7">
        <w:trPr>
          <w:trHeight w:val="304"/>
        </w:trPr>
        <w:tc>
          <w:tcPr>
            <w:tcW w:w="994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14:paraId="641C5EF5"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6: FR2-1 Urban Macro</w:t>
            </w:r>
            <w:r w:rsidRPr="00B334F7">
              <w:rPr>
                <w:rFonts w:ascii="Times New Roman" w:eastAsia="Times New Roman" w:hAnsi="Times New Roman" w:cs="Times New Roman"/>
                <w:b/>
                <w:bCs/>
                <w:sz w:val="16"/>
                <w:szCs w:val="16"/>
                <w:lang w:val="en-US"/>
              </w:rPr>
              <w:br/>
              <w:t>Case 2: TDD UL as victim</w:t>
            </w:r>
          </w:p>
        </w:tc>
      </w:tr>
      <w:tr w:rsidR="0003383D" w:rsidRPr="0003383D" w14:paraId="25AFB579" w14:textId="77777777" w:rsidTr="0003383D">
        <w:trPr>
          <w:trHeight w:val="290"/>
        </w:trPr>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079BB2BA"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hideMark/>
          </w:tcPr>
          <w:p w14:paraId="7B244549"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81" w:type="dxa"/>
            <w:vMerge w:val="restart"/>
            <w:tcBorders>
              <w:top w:val="nil"/>
              <w:left w:val="single" w:sz="4" w:space="0" w:color="auto"/>
              <w:bottom w:val="single" w:sz="4" w:space="0" w:color="auto"/>
              <w:right w:val="single" w:sz="4" w:space="0" w:color="auto"/>
            </w:tcBorders>
            <w:shd w:val="clear" w:color="auto" w:fill="auto"/>
            <w:vAlign w:val="center"/>
            <w:hideMark/>
          </w:tcPr>
          <w:p w14:paraId="3982F8CE"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708FD744"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81" w:type="dxa"/>
            <w:vMerge w:val="restart"/>
            <w:tcBorders>
              <w:top w:val="nil"/>
              <w:left w:val="single" w:sz="4" w:space="0" w:color="auto"/>
              <w:bottom w:val="single" w:sz="4" w:space="0" w:color="auto"/>
              <w:right w:val="single" w:sz="4" w:space="0" w:color="auto"/>
            </w:tcBorders>
            <w:shd w:val="clear" w:color="auto" w:fill="auto"/>
            <w:vAlign w:val="center"/>
            <w:hideMark/>
          </w:tcPr>
          <w:p w14:paraId="59424323"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77" w:type="dxa"/>
            <w:vMerge w:val="restart"/>
            <w:tcBorders>
              <w:top w:val="nil"/>
              <w:left w:val="single" w:sz="4" w:space="0" w:color="auto"/>
              <w:bottom w:val="single" w:sz="4" w:space="0" w:color="auto"/>
              <w:right w:val="single" w:sz="4" w:space="0" w:color="auto"/>
            </w:tcBorders>
            <w:shd w:val="clear" w:color="auto" w:fill="auto"/>
            <w:vAlign w:val="center"/>
            <w:hideMark/>
          </w:tcPr>
          <w:p w14:paraId="5E16843C"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hideMark/>
          </w:tcPr>
          <w:p w14:paraId="20DBC891"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17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AA2331"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7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14D156"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03383D" w:rsidRPr="0003383D" w14:paraId="401C8FA3" w14:textId="77777777" w:rsidTr="00B334F7">
        <w:trPr>
          <w:trHeight w:val="290"/>
        </w:trPr>
        <w:tc>
          <w:tcPr>
            <w:tcW w:w="872" w:type="dxa"/>
            <w:vMerge/>
            <w:tcBorders>
              <w:top w:val="nil"/>
              <w:left w:val="single" w:sz="4" w:space="0" w:color="auto"/>
              <w:bottom w:val="single" w:sz="4" w:space="0" w:color="auto"/>
              <w:right w:val="single" w:sz="4" w:space="0" w:color="auto"/>
            </w:tcBorders>
            <w:vAlign w:val="center"/>
            <w:hideMark/>
          </w:tcPr>
          <w:p w14:paraId="60D1A5A4"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2" w:type="dxa"/>
            <w:vMerge/>
            <w:tcBorders>
              <w:top w:val="nil"/>
              <w:left w:val="single" w:sz="4" w:space="0" w:color="auto"/>
              <w:bottom w:val="single" w:sz="4" w:space="0" w:color="auto"/>
              <w:right w:val="single" w:sz="4" w:space="0" w:color="auto"/>
            </w:tcBorders>
            <w:vAlign w:val="center"/>
            <w:hideMark/>
          </w:tcPr>
          <w:p w14:paraId="65CC77BE"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1" w:type="dxa"/>
            <w:vMerge/>
            <w:tcBorders>
              <w:top w:val="nil"/>
              <w:left w:val="single" w:sz="4" w:space="0" w:color="auto"/>
              <w:bottom w:val="single" w:sz="4" w:space="0" w:color="auto"/>
              <w:right w:val="single" w:sz="4" w:space="0" w:color="auto"/>
            </w:tcBorders>
            <w:vAlign w:val="center"/>
            <w:hideMark/>
          </w:tcPr>
          <w:p w14:paraId="701A94D4"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20" w:type="dxa"/>
            <w:vMerge/>
            <w:tcBorders>
              <w:top w:val="nil"/>
              <w:left w:val="single" w:sz="4" w:space="0" w:color="auto"/>
              <w:bottom w:val="single" w:sz="4" w:space="0" w:color="auto"/>
              <w:right w:val="single" w:sz="4" w:space="0" w:color="auto"/>
            </w:tcBorders>
            <w:vAlign w:val="center"/>
            <w:hideMark/>
          </w:tcPr>
          <w:p w14:paraId="46CC7CEE"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1" w:type="dxa"/>
            <w:vMerge/>
            <w:tcBorders>
              <w:top w:val="nil"/>
              <w:left w:val="single" w:sz="4" w:space="0" w:color="auto"/>
              <w:bottom w:val="single" w:sz="4" w:space="0" w:color="auto"/>
              <w:right w:val="single" w:sz="4" w:space="0" w:color="auto"/>
            </w:tcBorders>
            <w:vAlign w:val="center"/>
            <w:hideMark/>
          </w:tcPr>
          <w:p w14:paraId="2DE1904D"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7" w:type="dxa"/>
            <w:vMerge/>
            <w:tcBorders>
              <w:top w:val="nil"/>
              <w:left w:val="single" w:sz="4" w:space="0" w:color="auto"/>
              <w:bottom w:val="single" w:sz="4" w:space="0" w:color="auto"/>
              <w:right w:val="single" w:sz="4" w:space="0" w:color="auto"/>
            </w:tcBorders>
            <w:vAlign w:val="center"/>
            <w:hideMark/>
          </w:tcPr>
          <w:p w14:paraId="4169ABA5"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2" w:type="dxa"/>
            <w:vMerge/>
            <w:tcBorders>
              <w:top w:val="nil"/>
              <w:left w:val="single" w:sz="4" w:space="0" w:color="auto"/>
              <w:bottom w:val="single" w:sz="4" w:space="0" w:color="auto"/>
              <w:right w:val="single" w:sz="4" w:space="0" w:color="auto"/>
            </w:tcBorders>
            <w:vAlign w:val="center"/>
            <w:hideMark/>
          </w:tcPr>
          <w:p w14:paraId="0DEAB256"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51" w:type="dxa"/>
            <w:gridSpan w:val="2"/>
            <w:vMerge/>
            <w:tcBorders>
              <w:top w:val="single" w:sz="4" w:space="0" w:color="auto"/>
              <w:left w:val="single" w:sz="4" w:space="0" w:color="auto"/>
              <w:bottom w:val="single" w:sz="4" w:space="0" w:color="auto"/>
              <w:right w:val="single" w:sz="4" w:space="0" w:color="auto"/>
            </w:tcBorders>
            <w:vAlign w:val="center"/>
            <w:hideMark/>
          </w:tcPr>
          <w:p w14:paraId="7FC8351A"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52" w:type="dxa"/>
            <w:gridSpan w:val="2"/>
            <w:vMerge/>
            <w:tcBorders>
              <w:top w:val="single" w:sz="4" w:space="0" w:color="auto"/>
              <w:left w:val="single" w:sz="4" w:space="0" w:color="auto"/>
              <w:bottom w:val="single" w:sz="4" w:space="0" w:color="auto"/>
              <w:right w:val="single" w:sz="4" w:space="0" w:color="auto"/>
            </w:tcBorders>
            <w:vAlign w:val="center"/>
            <w:hideMark/>
          </w:tcPr>
          <w:p w14:paraId="3EAA1890"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03383D" w:rsidRPr="0003383D" w14:paraId="273FB08C" w14:textId="77777777" w:rsidTr="00B334F7">
        <w:trPr>
          <w:trHeight w:val="290"/>
        </w:trPr>
        <w:tc>
          <w:tcPr>
            <w:tcW w:w="872" w:type="dxa"/>
            <w:vMerge/>
            <w:tcBorders>
              <w:top w:val="nil"/>
              <w:left w:val="single" w:sz="4" w:space="0" w:color="auto"/>
              <w:bottom w:val="single" w:sz="4" w:space="0" w:color="auto"/>
              <w:right w:val="single" w:sz="4" w:space="0" w:color="auto"/>
            </w:tcBorders>
            <w:vAlign w:val="center"/>
            <w:hideMark/>
          </w:tcPr>
          <w:p w14:paraId="22BF309D"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2" w:type="dxa"/>
            <w:vMerge/>
            <w:tcBorders>
              <w:top w:val="nil"/>
              <w:left w:val="single" w:sz="4" w:space="0" w:color="auto"/>
              <w:bottom w:val="single" w:sz="4" w:space="0" w:color="auto"/>
              <w:right w:val="single" w:sz="4" w:space="0" w:color="auto"/>
            </w:tcBorders>
            <w:vAlign w:val="center"/>
            <w:hideMark/>
          </w:tcPr>
          <w:p w14:paraId="1BB8CD0E"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1" w:type="dxa"/>
            <w:vMerge/>
            <w:tcBorders>
              <w:top w:val="nil"/>
              <w:left w:val="single" w:sz="4" w:space="0" w:color="auto"/>
              <w:bottom w:val="single" w:sz="4" w:space="0" w:color="auto"/>
              <w:right w:val="single" w:sz="4" w:space="0" w:color="auto"/>
            </w:tcBorders>
            <w:vAlign w:val="center"/>
            <w:hideMark/>
          </w:tcPr>
          <w:p w14:paraId="1B9F59A5"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20" w:type="dxa"/>
            <w:vMerge/>
            <w:tcBorders>
              <w:top w:val="nil"/>
              <w:left w:val="single" w:sz="4" w:space="0" w:color="auto"/>
              <w:bottom w:val="single" w:sz="4" w:space="0" w:color="auto"/>
              <w:right w:val="single" w:sz="4" w:space="0" w:color="auto"/>
            </w:tcBorders>
            <w:vAlign w:val="center"/>
            <w:hideMark/>
          </w:tcPr>
          <w:p w14:paraId="4B3ED453"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1" w:type="dxa"/>
            <w:vMerge/>
            <w:tcBorders>
              <w:top w:val="nil"/>
              <w:left w:val="single" w:sz="4" w:space="0" w:color="auto"/>
              <w:bottom w:val="single" w:sz="4" w:space="0" w:color="auto"/>
              <w:right w:val="single" w:sz="4" w:space="0" w:color="auto"/>
            </w:tcBorders>
            <w:vAlign w:val="center"/>
            <w:hideMark/>
          </w:tcPr>
          <w:p w14:paraId="446455A2"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7" w:type="dxa"/>
            <w:vMerge/>
            <w:tcBorders>
              <w:top w:val="nil"/>
              <w:left w:val="single" w:sz="4" w:space="0" w:color="auto"/>
              <w:bottom w:val="single" w:sz="4" w:space="0" w:color="auto"/>
              <w:right w:val="single" w:sz="4" w:space="0" w:color="auto"/>
            </w:tcBorders>
            <w:vAlign w:val="center"/>
            <w:hideMark/>
          </w:tcPr>
          <w:p w14:paraId="58360DC1"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2" w:type="dxa"/>
            <w:vMerge/>
            <w:tcBorders>
              <w:top w:val="nil"/>
              <w:left w:val="single" w:sz="4" w:space="0" w:color="auto"/>
              <w:bottom w:val="single" w:sz="4" w:space="0" w:color="auto"/>
              <w:right w:val="single" w:sz="4" w:space="0" w:color="auto"/>
            </w:tcBorders>
            <w:vAlign w:val="center"/>
            <w:hideMark/>
          </w:tcPr>
          <w:p w14:paraId="2CBA8027" w14:textId="77777777" w:rsidR="0003383D" w:rsidRPr="00B334F7" w:rsidRDefault="0003383D" w:rsidP="000338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4" w:type="dxa"/>
            <w:tcBorders>
              <w:top w:val="nil"/>
              <w:left w:val="nil"/>
              <w:bottom w:val="single" w:sz="4" w:space="0" w:color="auto"/>
              <w:right w:val="single" w:sz="4" w:space="0" w:color="auto"/>
            </w:tcBorders>
            <w:shd w:val="clear" w:color="auto" w:fill="auto"/>
            <w:vAlign w:val="center"/>
            <w:hideMark/>
          </w:tcPr>
          <w:p w14:paraId="09D3263F"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76" w:type="dxa"/>
            <w:tcBorders>
              <w:top w:val="nil"/>
              <w:left w:val="nil"/>
              <w:bottom w:val="single" w:sz="4" w:space="0" w:color="auto"/>
              <w:right w:val="single" w:sz="4" w:space="0" w:color="auto"/>
            </w:tcBorders>
            <w:shd w:val="clear" w:color="auto" w:fill="auto"/>
            <w:vAlign w:val="center"/>
            <w:hideMark/>
          </w:tcPr>
          <w:p w14:paraId="046EFCB5"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77" w:type="dxa"/>
            <w:tcBorders>
              <w:top w:val="nil"/>
              <w:left w:val="nil"/>
              <w:bottom w:val="single" w:sz="4" w:space="0" w:color="auto"/>
              <w:right w:val="single" w:sz="4" w:space="0" w:color="auto"/>
            </w:tcBorders>
            <w:shd w:val="clear" w:color="auto" w:fill="auto"/>
            <w:vAlign w:val="center"/>
            <w:hideMark/>
          </w:tcPr>
          <w:p w14:paraId="30E1599C"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74" w:type="dxa"/>
            <w:tcBorders>
              <w:top w:val="nil"/>
              <w:left w:val="nil"/>
              <w:bottom w:val="single" w:sz="4" w:space="0" w:color="auto"/>
              <w:right w:val="single" w:sz="4" w:space="0" w:color="auto"/>
            </w:tcBorders>
            <w:shd w:val="clear" w:color="auto" w:fill="auto"/>
            <w:vAlign w:val="center"/>
            <w:hideMark/>
          </w:tcPr>
          <w:p w14:paraId="503795CE" w14:textId="77777777" w:rsidR="0003383D" w:rsidRPr="00B334F7" w:rsidRDefault="0003383D" w:rsidP="000338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A94381" w:rsidRPr="0003383D" w14:paraId="57A93358" w14:textId="77777777" w:rsidTr="0003383D">
        <w:trPr>
          <w:trHeight w:val="290"/>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5164B244"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100%</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hideMark/>
          </w:tcPr>
          <w:p w14:paraId="1F17B884"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TDD UL</w:t>
            </w:r>
          </w:p>
        </w:tc>
        <w:tc>
          <w:tcPr>
            <w:tcW w:w="881" w:type="dxa"/>
            <w:vMerge w:val="restart"/>
            <w:tcBorders>
              <w:top w:val="nil"/>
              <w:left w:val="single" w:sz="4" w:space="0" w:color="auto"/>
              <w:bottom w:val="single" w:sz="4" w:space="0" w:color="000000"/>
              <w:right w:val="single" w:sz="4" w:space="0" w:color="auto"/>
            </w:tcBorders>
            <w:shd w:val="clear" w:color="auto" w:fill="auto"/>
            <w:vAlign w:val="center"/>
            <w:hideMark/>
          </w:tcPr>
          <w:p w14:paraId="6C0E6350"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TDD UL</w:t>
            </w:r>
          </w:p>
        </w:tc>
        <w:tc>
          <w:tcPr>
            <w:tcW w:w="1120" w:type="dxa"/>
            <w:tcBorders>
              <w:top w:val="nil"/>
              <w:left w:val="nil"/>
              <w:bottom w:val="single" w:sz="4" w:space="0" w:color="auto"/>
              <w:right w:val="single" w:sz="4" w:space="0" w:color="auto"/>
            </w:tcBorders>
            <w:shd w:val="clear" w:color="auto" w:fill="auto"/>
            <w:vAlign w:val="center"/>
            <w:hideMark/>
          </w:tcPr>
          <w:p w14:paraId="7F04D936"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N/A</w:t>
            </w:r>
          </w:p>
        </w:tc>
        <w:tc>
          <w:tcPr>
            <w:tcW w:w="881" w:type="dxa"/>
            <w:vMerge w:val="restart"/>
            <w:tcBorders>
              <w:top w:val="nil"/>
              <w:left w:val="single" w:sz="4" w:space="0" w:color="auto"/>
              <w:bottom w:val="single" w:sz="4" w:space="0" w:color="000000"/>
              <w:right w:val="single" w:sz="4" w:space="0" w:color="auto"/>
            </w:tcBorders>
            <w:shd w:val="clear" w:color="auto" w:fill="auto"/>
            <w:vAlign w:val="center"/>
            <w:hideMark/>
          </w:tcPr>
          <w:p w14:paraId="780DF535"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TDD: 30 dBm</w:t>
            </w:r>
          </w:p>
        </w:tc>
        <w:tc>
          <w:tcPr>
            <w:tcW w:w="877" w:type="dxa"/>
            <w:vMerge w:val="restart"/>
            <w:tcBorders>
              <w:top w:val="nil"/>
              <w:left w:val="single" w:sz="4" w:space="0" w:color="auto"/>
              <w:bottom w:val="single" w:sz="4" w:space="0" w:color="auto"/>
              <w:right w:val="single" w:sz="4" w:space="0" w:color="auto"/>
            </w:tcBorders>
            <w:shd w:val="clear" w:color="auto" w:fill="auto"/>
            <w:vAlign w:val="center"/>
            <w:hideMark/>
          </w:tcPr>
          <w:p w14:paraId="4A84F78D"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Enabled</w:t>
            </w:r>
          </w:p>
        </w:tc>
        <w:tc>
          <w:tcPr>
            <w:tcW w:w="902" w:type="dxa"/>
            <w:vMerge w:val="restart"/>
            <w:tcBorders>
              <w:top w:val="nil"/>
              <w:left w:val="single" w:sz="4" w:space="0" w:color="auto"/>
              <w:bottom w:val="single" w:sz="4" w:space="0" w:color="000000"/>
              <w:right w:val="single" w:sz="4" w:space="0" w:color="auto"/>
            </w:tcBorders>
            <w:shd w:val="clear" w:color="auto" w:fill="auto"/>
            <w:vAlign w:val="center"/>
            <w:hideMark/>
          </w:tcPr>
          <w:p w14:paraId="6A19BB74"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TDD: 30 dBm</w:t>
            </w:r>
          </w:p>
        </w:tc>
        <w:tc>
          <w:tcPr>
            <w:tcW w:w="874" w:type="dxa"/>
            <w:tcBorders>
              <w:top w:val="nil"/>
              <w:left w:val="nil"/>
              <w:bottom w:val="single" w:sz="4" w:space="0" w:color="auto"/>
              <w:right w:val="single" w:sz="4" w:space="0" w:color="auto"/>
            </w:tcBorders>
            <w:shd w:val="clear" w:color="auto" w:fill="auto"/>
            <w:noWrap/>
            <w:vAlign w:val="center"/>
            <w:hideMark/>
          </w:tcPr>
          <w:p w14:paraId="78394C2B"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0.01</w:t>
            </w:r>
          </w:p>
        </w:tc>
        <w:tc>
          <w:tcPr>
            <w:tcW w:w="876" w:type="dxa"/>
            <w:tcBorders>
              <w:top w:val="nil"/>
              <w:left w:val="nil"/>
              <w:bottom w:val="single" w:sz="4" w:space="0" w:color="auto"/>
              <w:right w:val="single" w:sz="4" w:space="0" w:color="auto"/>
            </w:tcBorders>
            <w:shd w:val="clear" w:color="auto" w:fill="auto"/>
            <w:noWrap/>
            <w:vAlign w:val="center"/>
            <w:hideMark/>
          </w:tcPr>
          <w:p w14:paraId="492C1790"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0.01</w:t>
            </w:r>
          </w:p>
        </w:tc>
        <w:tc>
          <w:tcPr>
            <w:tcW w:w="877" w:type="dxa"/>
            <w:tcBorders>
              <w:top w:val="nil"/>
              <w:left w:val="nil"/>
              <w:bottom w:val="single" w:sz="4" w:space="0" w:color="auto"/>
              <w:right w:val="single" w:sz="4" w:space="0" w:color="auto"/>
            </w:tcBorders>
            <w:shd w:val="clear" w:color="auto" w:fill="auto"/>
            <w:noWrap/>
            <w:vAlign w:val="center"/>
            <w:hideMark/>
          </w:tcPr>
          <w:p w14:paraId="3B90D896"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0.25</w:t>
            </w:r>
          </w:p>
        </w:tc>
        <w:tc>
          <w:tcPr>
            <w:tcW w:w="874" w:type="dxa"/>
            <w:tcBorders>
              <w:top w:val="nil"/>
              <w:left w:val="nil"/>
              <w:bottom w:val="single" w:sz="4" w:space="0" w:color="auto"/>
              <w:right w:val="single" w:sz="4" w:space="0" w:color="auto"/>
            </w:tcBorders>
            <w:shd w:val="clear" w:color="auto" w:fill="auto"/>
            <w:noWrap/>
            <w:vAlign w:val="center"/>
            <w:hideMark/>
          </w:tcPr>
          <w:p w14:paraId="3ED1D433"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0.09</w:t>
            </w:r>
          </w:p>
        </w:tc>
      </w:tr>
      <w:tr w:rsidR="00A94381" w:rsidRPr="0003383D" w14:paraId="288AD774" w14:textId="77777777" w:rsidTr="0003383D">
        <w:trPr>
          <w:trHeight w:val="290"/>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3844868D"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10%</w:t>
            </w:r>
          </w:p>
        </w:tc>
        <w:tc>
          <w:tcPr>
            <w:tcW w:w="902" w:type="dxa"/>
            <w:vMerge/>
            <w:tcBorders>
              <w:top w:val="nil"/>
              <w:left w:val="single" w:sz="4" w:space="0" w:color="auto"/>
              <w:bottom w:val="single" w:sz="4" w:space="0" w:color="auto"/>
              <w:right w:val="single" w:sz="4" w:space="0" w:color="auto"/>
            </w:tcBorders>
            <w:vAlign w:val="center"/>
            <w:hideMark/>
          </w:tcPr>
          <w:p w14:paraId="37EAA8D6"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1" w:type="dxa"/>
            <w:vMerge/>
            <w:tcBorders>
              <w:top w:val="nil"/>
              <w:left w:val="single" w:sz="4" w:space="0" w:color="auto"/>
              <w:bottom w:val="single" w:sz="4" w:space="0" w:color="000000"/>
              <w:right w:val="single" w:sz="4" w:space="0" w:color="auto"/>
            </w:tcBorders>
            <w:vAlign w:val="center"/>
            <w:hideMark/>
          </w:tcPr>
          <w:p w14:paraId="405BFCDF"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0" w:type="dxa"/>
            <w:tcBorders>
              <w:top w:val="nil"/>
              <w:left w:val="nil"/>
              <w:bottom w:val="single" w:sz="4" w:space="0" w:color="auto"/>
              <w:right w:val="single" w:sz="4" w:space="0" w:color="auto"/>
            </w:tcBorders>
            <w:shd w:val="clear" w:color="auto" w:fill="auto"/>
            <w:vAlign w:val="center"/>
            <w:hideMark/>
          </w:tcPr>
          <w:p w14:paraId="2400DCC4"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N/A</w:t>
            </w:r>
          </w:p>
        </w:tc>
        <w:tc>
          <w:tcPr>
            <w:tcW w:w="881" w:type="dxa"/>
            <w:vMerge/>
            <w:tcBorders>
              <w:top w:val="nil"/>
              <w:left w:val="single" w:sz="4" w:space="0" w:color="auto"/>
              <w:bottom w:val="single" w:sz="4" w:space="0" w:color="000000"/>
              <w:right w:val="single" w:sz="4" w:space="0" w:color="auto"/>
            </w:tcBorders>
            <w:vAlign w:val="center"/>
            <w:hideMark/>
          </w:tcPr>
          <w:p w14:paraId="5022184E"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7" w:type="dxa"/>
            <w:vMerge/>
            <w:tcBorders>
              <w:top w:val="nil"/>
              <w:left w:val="single" w:sz="4" w:space="0" w:color="auto"/>
              <w:bottom w:val="single" w:sz="4" w:space="0" w:color="auto"/>
              <w:right w:val="single" w:sz="4" w:space="0" w:color="auto"/>
            </w:tcBorders>
            <w:vAlign w:val="center"/>
            <w:hideMark/>
          </w:tcPr>
          <w:p w14:paraId="470B3EA7"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2" w:type="dxa"/>
            <w:vMerge/>
            <w:tcBorders>
              <w:top w:val="nil"/>
              <w:left w:val="single" w:sz="4" w:space="0" w:color="auto"/>
              <w:bottom w:val="single" w:sz="4" w:space="0" w:color="000000"/>
              <w:right w:val="single" w:sz="4" w:space="0" w:color="auto"/>
            </w:tcBorders>
            <w:vAlign w:val="center"/>
            <w:hideMark/>
          </w:tcPr>
          <w:p w14:paraId="156F701A"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4" w:type="dxa"/>
            <w:tcBorders>
              <w:top w:val="nil"/>
              <w:left w:val="nil"/>
              <w:bottom w:val="single" w:sz="4" w:space="0" w:color="auto"/>
              <w:right w:val="single" w:sz="4" w:space="0" w:color="auto"/>
            </w:tcBorders>
            <w:shd w:val="clear" w:color="auto" w:fill="auto"/>
            <w:noWrap/>
            <w:vAlign w:val="center"/>
            <w:hideMark/>
          </w:tcPr>
          <w:p w14:paraId="6F2C4A58"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0.02</w:t>
            </w:r>
          </w:p>
        </w:tc>
        <w:tc>
          <w:tcPr>
            <w:tcW w:w="876" w:type="dxa"/>
            <w:tcBorders>
              <w:top w:val="nil"/>
              <w:left w:val="nil"/>
              <w:bottom w:val="single" w:sz="4" w:space="0" w:color="auto"/>
              <w:right w:val="single" w:sz="4" w:space="0" w:color="auto"/>
            </w:tcBorders>
            <w:shd w:val="clear" w:color="auto" w:fill="auto"/>
            <w:noWrap/>
            <w:vAlign w:val="center"/>
            <w:hideMark/>
          </w:tcPr>
          <w:p w14:paraId="112CF4F4"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0.05</w:t>
            </w:r>
          </w:p>
        </w:tc>
        <w:tc>
          <w:tcPr>
            <w:tcW w:w="877" w:type="dxa"/>
            <w:tcBorders>
              <w:top w:val="nil"/>
              <w:left w:val="nil"/>
              <w:bottom w:val="single" w:sz="4" w:space="0" w:color="auto"/>
              <w:right w:val="single" w:sz="4" w:space="0" w:color="auto"/>
            </w:tcBorders>
            <w:shd w:val="clear" w:color="auto" w:fill="auto"/>
            <w:noWrap/>
            <w:vAlign w:val="center"/>
            <w:hideMark/>
          </w:tcPr>
          <w:p w14:paraId="04BDE62C"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0.27</w:t>
            </w:r>
          </w:p>
        </w:tc>
        <w:tc>
          <w:tcPr>
            <w:tcW w:w="874" w:type="dxa"/>
            <w:tcBorders>
              <w:top w:val="nil"/>
              <w:left w:val="nil"/>
              <w:bottom w:val="single" w:sz="4" w:space="0" w:color="auto"/>
              <w:right w:val="single" w:sz="4" w:space="0" w:color="auto"/>
            </w:tcBorders>
            <w:shd w:val="clear" w:color="auto" w:fill="auto"/>
            <w:noWrap/>
            <w:vAlign w:val="center"/>
            <w:hideMark/>
          </w:tcPr>
          <w:p w14:paraId="0433DBF0"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0.1</w:t>
            </w:r>
          </w:p>
        </w:tc>
      </w:tr>
      <w:tr w:rsidR="00A94381" w:rsidRPr="0003383D" w14:paraId="65E568B5" w14:textId="77777777" w:rsidTr="0003383D">
        <w:trPr>
          <w:trHeight w:val="435"/>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1E2D0199"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100%</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hideMark/>
          </w:tcPr>
          <w:p w14:paraId="3FA31536"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SBFD</w:t>
            </w:r>
          </w:p>
        </w:tc>
        <w:tc>
          <w:tcPr>
            <w:tcW w:w="881" w:type="dxa"/>
            <w:vMerge/>
            <w:tcBorders>
              <w:top w:val="nil"/>
              <w:left w:val="single" w:sz="4" w:space="0" w:color="auto"/>
              <w:bottom w:val="single" w:sz="4" w:space="0" w:color="000000"/>
              <w:right w:val="single" w:sz="4" w:space="0" w:color="auto"/>
            </w:tcBorders>
            <w:vAlign w:val="center"/>
            <w:hideMark/>
          </w:tcPr>
          <w:p w14:paraId="6E718F28"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0" w:type="dxa"/>
            <w:tcBorders>
              <w:top w:val="nil"/>
              <w:left w:val="nil"/>
              <w:bottom w:val="single" w:sz="4" w:space="0" w:color="auto"/>
              <w:right w:val="single" w:sz="4" w:space="0" w:color="auto"/>
            </w:tcBorders>
            <w:shd w:val="clear" w:color="auto" w:fill="auto"/>
            <w:vAlign w:val="center"/>
            <w:hideMark/>
          </w:tcPr>
          <w:p w14:paraId="158DE9DE"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Option 1 (same size)</w:t>
            </w:r>
          </w:p>
        </w:tc>
        <w:tc>
          <w:tcPr>
            <w:tcW w:w="881" w:type="dxa"/>
            <w:vMerge/>
            <w:tcBorders>
              <w:top w:val="nil"/>
              <w:left w:val="single" w:sz="4" w:space="0" w:color="auto"/>
              <w:bottom w:val="single" w:sz="4" w:space="0" w:color="000000"/>
              <w:right w:val="single" w:sz="4" w:space="0" w:color="auto"/>
            </w:tcBorders>
            <w:vAlign w:val="center"/>
            <w:hideMark/>
          </w:tcPr>
          <w:p w14:paraId="0051B8B4"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7" w:type="dxa"/>
            <w:vMerge/>
            <w:tcBorders>
              <w:top w:val="nil"/>
              <w:left w:val="single" w:sz="4" w:space="0" w:color="auto"/>
              <w:bottom w:val="single" w:sz="4" w:space="0" w:color="auto"/>
              <w:right w:val="single" w:sz="4" w:space="0" w:color="auto"/>
            </w:tcBorders>
            <w:vAlign w:val="center"/>
            <w:hideMark/>
          </w:tcPr>
          <w:p w14:paraId="5A2776B4"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2" w:type="dxa"/>
            <w:vMerge w:val="restart"/>
            <w:tcBorders>
              <w:top w:val="nil"/>
              <w:left w:val="single" w:sz="4" w:space="0" w:color="auto"/>
              <w:bottom w:val="single" w:sz="4" w:space="0" w:color="000000"/>
              <w:right w:val="single" w:sz="4" w:space="0" w:color="auto"/>
            </w:tcBorders>
            <w:shd w:val="clear" w:color="auto" w:fill="auto"/>
            <w:vAlign w:val="center"/>
            <w:hideMark/>
          </w:tcPr>
          <w:p w14:paraId="3701C2C4"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Option 1:</w:t>
            </w:r>
            <w:r w:rsidRPr="0003383D">
              <w:rPr>
                <w:rFonts w:ascii="Times New Roman" w:eastAsia="Times New Roman" w:hAnsi="Times New Roman" w:cs="Times New Roman"/>
                <w:sz w:val="16"/>
                <w:szCs w:val="16"/>
                <w:lang w:val="en-US"/>
              </w:rPr>
              <w:br/>
              <w:t>SBFD: 27 dBm</w:t>
            </w:r>
          </w:p>
        </w:tc>
        <w:tc>
          <w:tcPr>
            <w:tcW w:w="874" w:type="dxa"/>
            <w:tcBorders>
              <w:top w:val="nil"/>
              <w:left w:val="nil"/>
              <w:bottom w:val="single" w:sz="4" w:space="0" w:color="auto"/>
              <w:right w:val="single" w:sz="4" w:space="0" w:color="auto"/>
            </w:tcBorders>
            <w:shd w:val="clear" w:color="auto" w:fill="auto"/>
            <w:noWrap/>
            <w:vAlign w:val="center"/>
            <w:hideMark/>
          </w:tcPr>
          <w:p w14:paraId="5999A63A"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0.37</w:t>
            </w:r>
          </w:p>
        </w:tc>
        <w:tc>
          <w:tcPr>
            <w:tcW w:w="876" w:type="dxa"/>
            <w:tcBorders>
              <w:top w:val="nil"/>
              <w:left w:val="nil"/>
              <w:bottom w:val="single" w:sz="4" w:space="0" w:color="auto"/>
              <w:right w:val="single" w:sz="4" w:space="0" w:color="auto"/>
            </w:tcBorders>
            <w:shd w:val="clear" w:color="auto" w:fill="auto"/>
            <w:noWrap/>
            <w:vAlign w:val="center"/>
            <w:hideMark/>
          </w:tcPr>
          <w:p w14:paraId="768AF4C8"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0.16</w:t>
            </w:r>
          </w:p>
        </w:tc>
        <w:tc>
          <w:tcPr>
            <w:tcW w:w="87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BDD8435"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03383D">
              <w:rPr>
                <w:rFonts w:ascii="Times New Roman" w:eastAsia="Times New Roman" w:hAnsi="Times New Roman" w:cs="Times New Roman"/>
                <w:color w:val="9C0006"/>
                <w:sz w:val="16"/>
                <w:szCs w:val="16"/>
                <w:lang w:val="en-US"/>
              </w:rPr>
              <w:t>7.02</w:t>
            </w:r>
          </w:p>
        </w:tc>
        <w:tc>
          <w:tcPr>
            <w:tcW w:w="874" w:type="dxa"/>
            <w:tcBorders>
              <w:top w:val="nil"/>
              <w:left w:val="nil"/>
              <w:bottom w:val="single" w:sz="4" w:space="0" w:color="auto"/>
              <w:right w:val="single" w:sz="4" w:space="0" w:color="auto"/>
            </w:tcBorders>
            <w:shd w:val="clear" w:color="auto" w:fill="auto"/>
            <w:noWrap/>
            <w:vAlign w:val="center"/>
            <w:hideMark/>
          </w:tcPr>
          <w:p w14:paraId="0C25C04C"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0.57</w:t>
            </w:r>
          </w:p>
        </w:tc>
      </w:tr>
      <w:tr w:rsidR="00A94381" w:rsidRPr="0003383D" w14:paraId="577789A8" w14:textId="77777777" w:rsidTr="0003383D">
        <w:trPr>
          <w:trHeight w:val="435"/>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65C1BA50"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10%</w:t>
            </w:r>
          </w:p>
        </w:tc>
        <w:tc>
          <w:tcPr>
            <w:tcW w:w="902" w:type="dxa"/>
            <w:vMerge/>
            <w:tcBorders>
              <w:top w:val="nil"/>
              <w:left w:val="single" w:sz="4" w:space="0" w:color="auto"/>
              <w:bottom w:val="single" w:sz="4" w:space="0" w:color="auto"/>
              <w:right w:val="single" w:sz="4" w:space="0" w:color="auto"/>
            </w:tcBorders>
            <w:vAlign w:val="center"/>
            <w:hideMark/>
          </w:tcPr>
          <w:p w14:paraId="54156F32"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1" w:type="dxa"/>
            <w:vMerge/>
            <w:tcBorders>
              <w:top w:val="nil"/>
              <w:left w:val="single" w:sz="4" w:space="0" w:color="auto"/>
              <w:bottom w:val="single" w:sz="4" w:space="0" w:color="000000"/>
              <w:right w:val="single" w:sz="4" w:space="0" w:color="auto"/>
            </w:tcBorders>
            <w:vAlign w:val="center"/>
            <w:hideMark/>
          </w:tcPr>
          <w:p w14:paraId="5557ACBA"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0" w:type="dxa"/>
            <w:tcBorders>
              <w:top w:val="nil"/>
              <w:left w:val="nil"/>
              <w:bottom w:val="single" w:sz="4" w:space="0" w:color="auto"/>
              <w:right w:val="single" w:sz="4" w:space="0" w:color="auto"/>
            </w:tcBorders>
            <w:shd w:val="clear" w:color="auto" w:fill="auto"/>
            <w:vAlign w:val="center"/>
            <w:hideMark/>
          </w:tcPr>
          <w:p w14:paraId="1F8A3410"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Option 1 (same size)</w:t>
            </w:r>
          </w:p>
        </w:tc>
        <w:tc>
          <w:tcPr>
            <w:tcW w:w="881" w:type="dxa"/>
            <w:vMerge/>
            <w:tcBorders>
              <w:top w:val="nil"/>
              <w:left w:val="single" w:sz="4" w:space="0" w:color="auto"/>
              <w:bottom w:val="single" w:sz="4" w:space="0" w:color="000000"/>
              <w:right w:val="single" w:sz="4" w:space="0" w:color="auto"/>
            </w:tcBorders>
            <w:vAlign w:val="center"/>
            <w:hideMark/>
          </w:tcPr>
          <w:p w14:paraId="13FC1126"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7" w:type="dxa"/>
            <w:vMerge/>
            <w:tcBorders>
              <w:top w:val="nil"/>
              <w:left w:val="single" w:sz="4" w:space="0" w:color="auto"/>
              <w:bottom w:val="single" w:sz="4" w:space="0" w:color="auto"/>
              <w:right w:val="single" w:sz="4" w:space="0" w:color="auto"/>
            </w:tcBorders>
            <w:vAlign w:val="center"/>
            <w:hideMark/>
          </w:tcPr>
          <w:p w14:paraId="482A8F48"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2" w:type="dxa"/>
            <w:vMerge/>
            <w:tcBorders>
              <w:top w:val="nil"/>
              <w:left w:val="single" w:sz="4" w:space="0" w:color="auto"/>
              <w:bottom w:val="single" w:sz="4" w:space="0" w:color="000000"/>
              <w:right w:val="single" w:sz="4" w:space="0" w:color="auto"/>
            </w:tcBorders>
            <w:vAlign w:val="center"/>
            <w:hideMark/>
          </w:tcPr>
          <w:p w14:paraId="23C7AB01"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4" w:type="dxa"/>
            <w:tcBorders>
              <w:top w:val="nil"/>
              <w:left w:val="nil"/>
              <w:bottom w:val="single" w:sz="4" w:space="0" w:color="auto"/>
              <w:right w:val="single" w:sz="4" w:space="0" w:color="auto"/>
            </w:tcBorders>
            <w:shd w:val="clear" w:color="auto" w:fill="auto"/>
            <w:noWrap/>
            <w:vAlign w:val="center"/>
            <w:hideMark/>
          </w:tcPr>
          <w:p w14:paraId="3DF803C7"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0.36</w:t>
            </w:r>
          </w:p>
        </w:tc>
        <w:tc>
          <w:tcPr>
            <w:tcW w:w="876" w:type="dxa"/>
            <w:tcBorders>
              <w:top w:val="nil"/>
              <w:left w:val="nil"/>
              <w:bottom w:val="single" w:sz="4" w:space="0" w:color="auto"/>
              <w:right w:val="single" w:sz="4" w:space="0" w:color="auto"/>
            </w:tcBorders>
            <w:shd w:val="clear" w:color="auto" w:fill="auto"/>
            <w:noWrap/>
            <w:vAlign w:val="center"/>
            <w:hideMark/>
          </w:tcPr>
          <w:p w14:paraId="6EB5CEE5"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0.51</w:t>
            </w:r>
          </w:p>
        </w:tc>
        <w:tc>
          <w:tcPr>
            <w:tcW w:w="87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FCF0CB8"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03383D">
              <w:rPr>
                <w:rFonts w:ascii="Times New Roman" w:eastAsia="Times New Roman" w:hAnsi="Times New Roman" w:cs="Times New Roman"/>
                <w:color w:val="9C0006"/>
                <w:sz w:val="16"/>
                <w:szCs w:val="16"/>
                <w:lang w:val="en-US"/>
              </w:rPr>
              <w:t>6.7</w:t>
            </w:r>
          </w:p>
        </w:tc>
        <w:tc>
          <w:tcPr>
            <w:tcW w:w="874" w:type="dxa"/>
            <w:tcBorders>
              <w:top w:val="nil"/>
              <w:left w:val="nil"/>
              <w:bottom w:val="single" w:sz="4" w:space="0" w:color="auto"/>
              <w:right w:val="single" w:sz="4" w:space="0" w:color="auto"/>
            </w:tcBorders>
            <w:shd w:val="clear" w:color="auto" w:fill="auto"/>
            <w:noWrap/>
            <w:vAlign w:val="center"/>
            <w:hideMark/>
          </w:tcPr>
          <w:p w14:paraId="5527CD7A"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1.74</w:t>
            </w:r>
          </w:p>
        </w:tc>
      </w:tr>
      <w:tr w:rsidR="00A94381" w:rsidRPr="0003383D" w14:paraId="6584BC5F" w14:textId="77777777" w:rsidTr="0003383D">
        <w:trPr>
          <w:trHeight w:val="435"/>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040DEC13"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100%</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hideMark/>
          </w:tcPr>
          <w:p w14:paraId="2526460F"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SBFD</w:t>
            </w:r>
          </w:p>
        </w:tc>
        <w:tc>
          <w:tcPr>
            <w:tcW w:w="881" w:type="dxa"/>
            <w:vMerge/>
            <w:tcBorders>
              <w:top w:val="nil"/>
              <w:left w:val="single" w:sz="4" w:space="0" w:color="auto"/>
              <w:bottom w:val="single" w:sz="4" w:space="0" w:color="000000"/>
              <w:right w:val="single" w:sz="4" w:space="0" w:color="auto"/>
            </w:tcBorders>
            <w:vAlign w:val="center"/>
            <w:hideMark/>
          </w:tcPr>
          <w:p w14:paraId="485A66EB"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0" w:type="dxa"/>
            <w:tcBorders>
              <w:top w:val="nil"/>
              <w:left w:val="nil"/>
              <w:bottom w:val="single" w:sz="4" w:space="0" w:color="auto"/>
              <w:right w:val="single" w:sz="4" w:space="0" w:color="auto"/>
            </w:tcBorders>
            <w:shd w:val="clear" w:color="auto" w:fill="auto"/>
            <w:vAlign w:val="center"/>
            <w:hideMark/>
          </w:tcPr>
          <w:p w14:paraId="4F2B2B6C"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Option 2 (same gain)</w:t>
            </w:r>
          </w:p>
        </w:tc>
        <w:tc>
          <w:tcPr>
            <w:tcW w:w="881" w:type="dxa"/>
            <w:vMerge/>
            <w:tcBorders>
              <w:top w:val="nil"/>
              <w:left w:val="single" w:sz="4" w:space="0" w:color="auto"/>
              <w:bottom w:val="single" w:sz="4" w:space="0" w:color="000000"/>
              <w:right w:val="single" w:sz="4" w:space="0" w:color="auto"/>
            </w:tcBorders>
            <w:vAlign w:val="center"/>
            <w:hideMark/>
          </w:tcPr>
          <w:p w14:paraId="462DB735"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7" w:type="dxa"/>
            <w:vMerge/>
            <w:tcBorders>
              <w:top w:val="nil"/>
              <w:left w:val="single" w:sz="4" w:space="0" w:color="auto"/>
              <w:bottom w:val="single" w:sz="4" w:space="0" w:color="auto"/>
              <w:right w:val="single" w:sz="4" w:space="0" w:color="auto"/>
            </w:tcBorders>
            <w:vAlign w:val="center"/>
            <w:hideMark/>
          </w:tcPr>
          <w:p w14:paraId="62DA5873"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2" w:type="dxa"/>
            <w:vMerge w:val="restart"/>
            <w:tcBorders>
              <w:top w:val="nil"/>
              <w:left w:val="single" w:sz="4" w:space="0" w:color="auto"/>
              <w:bottom w:val="single" w:sz="4" w:space="0" w:color="000000"/>
              <w:right w:val="single" w:sz="4" w:space="0" w:color="auto"/>
            </w:tcBorders>
            <w:shd w:val="clear" w:color="auto" w:fill="auto"/>
            <w:vAlign w:val="center"/>
            <w:hideMark/>
          </w:tcPr>
          <w:p w14:paraId="6D8018B4"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Option 2:</w:t>
            </w:r>
            <w:r w:rsidRPr="0003383D">
              <w:rPr>
                <w:rFonts w:ascii="Times New Roman" w:eastAsia="Times New Roman" w:hAnsi="Times New Roman" w:cs="Times New Roman"/>
                <w:sz w:val="16"/>
                <w:szCs w:val="16"/>
                <w:lang w:val="en-US"/>
              </w:rPr>
              <w:br/>
              <w:t>SBFD: 30 dBm</w:t>
            </w:r>
          </w:p>
        </w:tc>
        <w:tc>
          <w:tcPr>
            <w:tcW w:w="874" w:type="dxa"/>
            <w:tcBorders>
              <w:top w:val="nil"/>
              <w:left w:val="nil"/>
              <w:bottom w:val="single" w:sz="4" w:space="0" w:color="auto"/>
              <w:right w:val="single" w:sz="4" w:space="0" w:color="auto"/>
            </w:tcBorders>
            <w:shd w:val="clear" w:color="auto" w:fill="auto"/>
            <w:noWrap/>
            <w:vAlign w:val="center"/>
            <w:hideMark/>
          </w:tcPr>
          <w:p w14:paraId="6640A4EE"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0.36</w:t>
            </w:r>
          </w:p>
        </w:tc>
        <w:tc>
          <w:tcPr>
            <w:tcW w:w="876" w:type="dxa"/>
            <w:tcBorders>
              <w:top w:val="nil"/>
              <w:left w:val="nil"/>
              <w:bottom w:val="single" w:sz="4" w:space="0" w:color="auto"/>
              <w:right w:val="single" w:sz="4" w:space="0" w:color="auto"/>
            </w:tcBorders>
            <w:shd w:val="clear" w:color="auto" w:fill="auto"/>
            <w:noWrap/>
            <w:vAlign w:val="center"/>
            <w:hideMark/>
          </w:tcPr>
          <w:p w14:paraId="59041BE5"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0.12</w:t>
            </w:r>
          </w:p>
        </w:tc>
        <w:tc>
          <w:tcPr>
            <w:tcW w:w="87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DAF0D71"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03383D">
              <w:rPr>
                <w:rFonts w:ascii="Times New Roman" w:eastAsia="Times New Roman" w:hAnsi="Times New Roman" w:cs="Times New Roman"/>
                <w:color w:val="9C0006"/>
                <w:sz w:val="16"/>
                <w:szCs w:val="16"/>
                <w:lang w:val="en-US"/>
              </w:rPr>
              <w:t>6.9</w:t>
            </w:r>
          </w:p>
        </w:tc>
        <w:tc>
          <w:tcPr>
            <w:tcW w:w="874" w:type="dxa"/>
            <w:tcBorders>
              <w:top w:val="nil"/>
              <w:left w:val="nil"/>
              <w:bottom w:val="single" w:sz="4" w:space="0" w:color="auto"/>
              <w:right w:val="single" w:sz="4" w:space="0" w:color="auto"/>
            </w:tcBorders>
            <w:shd w:val="clear" w:color="auto" w:fill="auto"/>
            <w:noWrap/>
            <w:vAlign w:val="center"/>
            <w:hideMark/>
          </w:tcPr>
          <w:p w14:paraId="0FA35516"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0.65</w:t>
            </w:r>
          </w:p>
        </w:tc>
      </w:tr>
      <w:tr w:rsidR="00A94381" w:rsidRPr="0003383D" w14:paraId="176D24D0" w14:textId="77777777" w:rsidTr="0003383D">
        <w:trPr>
          <w:trHeight w:val="435"/>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6C818BCC"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10%</w:t>
            </w:r>
          </w:p>
        </w:tc>
        <w:tc>
          <w:tcPr>
            <w:tcW w:w="902" w:type="dxa"/>
            <w:vMerge/>
            <w:tcBorders>
              <w:top w:val="nil"/>
              <w:left w:val="single" w:sz="4" w:space="0" w:color="auto"/>
              <w:bottom w:val="single" w:sz="4" w:space="0" w:color="auto"/>
              <w:right w:val="single" w:sz="4" w:space="0" w:color="auto"/>
            </w:tcBorders>
            <w:vAlign w:val="center"/>
            <w:hideMark/>
          </w:tcPr>
          <w:p w14:paraId="40DCFF2E"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1" w:type="dxa"/>
            <w:vMerge/>
            <w:tcBorders>
              <w:top w:val="nil"/>
              <w:left w:val="single" w:sz="4" w:space="0" w:color="auto"/>
              <w:bottom w:val="single" w:sz="4" w:space="0" w:color="000000"/>
              <w:right w:val="single" w:sz="4" w:space="0" w:color="auto"/>
            </w:tcBorders>
            <w:vAlign w:val="center"/>
            <w:hideMark/>
          </w:tcPr>
          <w:p w14:paraId="79365B1A"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0" w:type="dxa"/>
            <w:tcBorders>
              <w:top w:val="nil"/>
              <w:left w:val="nil"/>
              <w:bottom w:val="single" w:sz="4" w:space="0" w:color="auto"/>
              <w:right w:val="single" w:sz="4" w:space="0" w:color="auto"/>
            </w:tcBorders>
            <w:shd w:val="clear" w:color="auto" w:fill="auto"/>
            <w:vAlign w:val="center"/>
            <w:hideMark/>
          </w:tcPr>
          <w:p w14:paraId="3551FB04" w14:textId="77777777" w:rsidR="0003383D" w:rsidRPr="0003383D" w:rsidRDefault="0003383D" w:rsidP="000338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3383D">
              <w:rPr>
                <w:rFonts w:ascii="Times New Roman" w:eastAsia="Times New Roman" w:hAnsi="Times New Roman" w:cs="Times New Roman"/>
                <w:sz w:val="16"/>
                <w:szCs w:val="16"/>
                <w:lang w:val="en-US"/>
              </w:rPr>
              <w:t>Option 2 (same gain)</w:t>
            </w:r>
          </w:p>
        </w:tc>
        <w:tc>
          <w:tcPr>
            <w:tcW w:w="881" w:type="dxa"/>
            <w:vMerge/>
            <w:tcBorders>
              <w:top w:val="nil"/>
              <w:left w:val="single" w:sz="4" w:space="0" w:color="auto"/>
              <w:bottom w:val="single" w:sz="4" w:space="0" w:color="000000"/>
              <w:right w:val="single" w:sz="4" w:space="0" w:color="auto"/>
            </w:tcBorders>
            <w:vAlign w:val="center"/>
            <w:hideMark/>
          </w:tcPr>
          <w:p w14:paraId="2517AAFC"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7" w:type="dxa"/>
            <w:vMerge/>
            <w:tcBorders>
              <w:top w:val="nil"/>
              <w:left w:val="single" w:sz="4" w:space="0" w:color="auto"/>
              <w:bottom w:val="single" w:sz="4" w:space="0" w:color="auto"/>
              <w:right w:val="single" w:sz="4" w:space="0" w:color="auto"/>
            </w:tcBorders>
            <w:vAlign w:val="center"/>
            <w:hideMark/>
          </w:tcPr>
          <w:p w14:paraId="180759EB"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2" w:type="dxa"/>
            <w:vMerge/>
            <w:tcBorders>
              <w:top w:val="nil"/>
              <w:left w:val="single" w:sz="4" w:space="0" w:color="auto"/>
              <w:bottom w:val="single" w:sz="4" w:space="0" w:color="000000"/>
              <w:right w:val="single" w:sz="4" w:space="0" w:color="auto"/>
            </w:tcBorders>
            <w:vAlign w:val="center"/>
            <w:hideMark/>
          </w:tcPr>
          <w:p w14:paraId="6D115413" w14:textId="77777777" w:rsidR="0003383D" w:rsidRPr="0003383D" w:rsidRDefault="0003383D" w:rsidP="000338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4" w:type="dxa"/>
            <w:tcBorders>
              <w:top w:val="nil"/>
              <w:left w:val="nil"/>
              <w:bottom w:val="single" w:sz="4" w:space="0" w:color="auto"/>
              <w:right w:val="single" w:sz="4" w:space="0" w:color="auto"/>
            </w:tcBorders>
            <w:shd w:val="clear" w:color="auto" w:fill="auto"/>
            <w:noWrap/>
            <w:vAlign w:val="center"/>
            <w:hideMark/>
          </w:tcPr>
          <w:p w14:paraId="4CD35696"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0.83</w:t>
            </w:r>
          </w:p>
        </w:tc>
        <w:tc>
          <w:tcPr>
            <w:tcW w:w="876" w:type="dxa"/>
            <w:tcBorders>
              <w:top w:val="nil"/>
              <w:left w:val="nil"/>
              <w:bottom w:val="single" w:sz="4" w:space="0" w:color="auto"/>
              <w:right w:val="single" w:sz="4" w:space="0" w:color="auto"/>
            </w:tcBorders>
            <w:shd w:val="clear" w:color="auto" w:fill="auto"/>
            <w:noWrap/>
            <w:vAlign w:val="center"/>
            <w:hideMark/>
          </w:tcPr>
          <w:p w14:paraId="62AD91BB"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0.54</w:t>
            </w:r>
          </w:p>
        </w:tc>
        <w:tc>
          <w:tcPr>
            <w:tcW w:w="87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7BC9996"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03383D">
              <w:rPr>
                <w:rFonts w:ascii="Times New Roman" w:eastAsia="Times New Roman" w:hAnsi="Times New Roman" w:cs="Times New Roman"/>
                <w:color w:val="9C0006"/>
                <w:sz w:val="16"/>
                <w:szCs w:val="16"/>
                <w:lang w:val="en-US"/>
              </w:rPr>
              <w:t>15.01</w:t>
            </w:r>
          </w:p>
        </w:tc>
        <w:tc>
          <w:tcPr>
            <w:tcW w:w="874" w:type="dxa"/>
            <w:tcBorders>
              <w:top w:val="nil"/>
              <w:left w:val="nil"/>
              <w:bottom w:val="single" w:sz="4" w:space="0" w:color="auto"/>
              <w:right w:val="single" w:sz="4" w:space="0" w:color="auto"/>
            </w:tcBorders>
            <w:shd w:val="clear" w:color="auto" w:fill="auto"/>
            <w:noWrap/>
            <w:vAlign w:val="center"/>
            <w:hideMark/>
          </w:tcPr>
          <w:p w14:paraId="595CE37C" w14:textId="77777777" w:rsidR="0003383D" w:rsidRPr="0003383D" w:rsidRDefault="0003383D" w:rsidP="000338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3383D">
              <w:rPr>
                <w:rFonts w:ascii="Times New Roman" w:eastAsia="Times New Roman" w:hAnsi="Times New Roman" w:cs="Times New Roman"/>
                <w:color w:val="000000"/>
                <w:sz w:val="16"/>
                <w:szCs w:val="16"/>
                <w:lang w:val="en-US"/>
              </w:rPr>
              <w:t>1.92</w:t>
            </w:r>
          </w:p>
        </w:tc>
      </w:tr>
    </w:tbl>
    <w:p w14:paraId="78906363" w14:textId="77777777" w:rsidR="00D97BE5" w:rsidRDefault="00D97BE5" w:rsidP="00D97BE5">
      <w:pPr>
        <w:rPr>
          <w:lang w:val="en-US"/>
        </w:rPr>
      </w:pPr>
    </w:p>
    <w:p w14:paraId="1CA210F4" w14:textId="531EC578" w:rsidR="0067158E" w:rsidRPr="00BE5EE3" w:rsidRDefault="0067158E" w:rsidP="0067158E">
      <w:pPr>
        <w:rPr>
          <w:lang w:val="en-US"/>
        </w:rPr>
      </w:pPr>
      <w:r>
        <w:rPr>
          <w:lang w:val="en-US"/>
        </w:rPr>
        <w:t>Based on these results, we conclude the following for this scenario and case:</w:t>
      </w:r>
    </w:p>
    <w:p w14:paraId="2538930E" w14:textId="2B672DED" w:rsidR="000170BF" w:rsidRDefault="0067158E" w:rsidP="000170BF">
      <w:r w:rsidRPr="009D3E26">
        <w:rPr>
          <w:b/>
          <w:bCs/>
        </w:rPr>
        <w:t xml:space="preserve">Proposal </w:t>
      </w:r>
      <w:r w:rsidR="00161BA4">
        <w:rPr>
          <w:b/>
          <w:bCs/>
        </w:rPr>
        <w:t>1</w:t>
      </w:r>
      <w:r w:rsidR="005C792F">
        <w:rPr>
          <w:b/>
          <w:bCs/>
        </w:rPr>
        <w:t>1</w:t>
      </w:r>
      <w:r w:rsidRPr="009D3E26">
        <w:rPr>
          <w:b/>
          <w:bCs/>
        </w:rPr>
        <w:t xml:space="preserve">: </w:t>
      </w:r>
      <w:r w:rsidRPr="00D255A4">
        <w:rPr>
          <w:b/>
          <w:bCs/>
        </w:rPr>
        <w:t>The performance degradation for U</w:t>
      </w:r>
      <w:r w:rsidR="000170BF">
        <w:rPr>
          <w:b/>
          <w:bCs/>
        </w:rPr>
        <w:t>rban Macro FR2-1</w:t>
      </w:r>
      <w:r>
        <w:rPr>
          <w:b/>
          <w:bCs/>
        </w:rPr>
        <w:t xml:space="preserve"> </w:t>
      </w:r>
      <w:r w:rsidRPr="00D255A4">
        <w:rPr>
          <w:b/>
          <w:bCs/>
        </w:rPr>
        <w:t xml:space="preserve">Case 2 </w:t>
      </w:r>
      <w:r w:rsidR="000170BF" w:rsidRPr="00B10AC6">
        <w:rPr>
          <w:b/>
          <w:bCs/>
        </w:rPr>
        <w:t>is acceptable for both TDD DL and SBFD aggressor technologies.</w:t>
      </w:r>
    </w:p>
    <w:p w14:paraId="2E7A6AF3" w14:textId="33E8DA80" w:rsidR="007A4373" w:rsidRDefault="007A4373" w:rsidP="007A4373">
      <w:pPr>
        <w:pStyle w:val="Heading2"/>
        <w:rPr>
          <w:lang w:val="en-US"/>
        </w:rPr>
      </w:pPr>
      <w:r>
        <w:rPr>
          <w:lang w:val="en-US"/>
        </w:rPr>
        <w:t>3.3 Case 3 – SBFD as victim</w:t>
      </w:r>
      <w:r w:rsidR="000468D9">
        <w:rPr>
          <w:lang w:val="en-US"/>
        </w:rPr>
        <w:t xml:space="preserve"> with TDD DL as aggressor</w:t>
      </w:r>
    </w:p>
    <w:p w14:paraId="0ACE30CF" w14:textId="4A722434" w:rsidR="00A609D2" w:rsidRPr="00A609D2" w:rsidRDefault="00044EF2" w:rsidP="00EF7212">
      <w:pPr>
        <w:rPr>
          <w:lang w:val="en-US"/>
        </w:rPr>
      </w:pPr>
      <w:r>
        <w:rPr>
          <w:lang w:val="en-US"/>
        </w:rPr>
        <w:t xml:space="preserve">This set of results analyze the coexistence for the Case 3. We evaluate here the performance degradation of a network using SFBD while the aggressor network uses </w:t>
      </w:r>
      <w:r w:rsidR="00C728B7">
        <w:rPr>
          <w:lang w:val="en-US"/>
        </w:rPr>
        <w:t>TDD DL or there is no adjacent channel interference</w:t>
      </w:r>
      <w:r>
        <w:rPr>
          <w:lang w:val="en-US"/>
        </w:rPr>
        <w:t xml:space="preserve">. </w:t>
      </w:r>
    </w:p>
    <w:p w14:paraId="7CDA2507" w14:textId="3202C5FB" w:rsidR="006F3DB2" w:rsidRDefault="006F3DB2">
      <w:pPr>
        <w:pStyle w:val="Heading4"/>
        <w:ind w:left="0" w:firstLine="0"/>
        <w:rPr>
          <w:lang w:val="en-US"/>
        </w:rPr>
      </w:pPr>
      <w:r w:rsidRPr="00FC6DDC">
        <w:rPr>
          <w:lang w:val="en-US"/>
        </w:rPr>
        <w:t>3.</w:t>
      </w:r>
      <w:r w:rsidR="0097579B" w:rsidRPr="00FC6DDC">
        <w:rPr>
          <w:lang w:val="en-US"/>
        </w:rPr>
        <w:t>3</w:t>
      </w:r>
      <w:r w:rsidRPr="00FC6DDC">
        <w:rPr>
          <w:lang w:val="en-US"/>
        </w:rPr>
        <w:t xml:space="preserve">.1 </w:t>
      </w:r>
      <w:r w:rsidR="00BF50E7" w:rsidRPr="00FC6DDC">
        <w:rPr>
          <w:lang w:val="en-US"/>
        </w:rPr>
        <w:t>Scenario 1: FR1 Urban Macro</w:t>
      </w:r>
    </w:p>
    <w:p w14:paraId="019D287F" w14:textId="294C02A7" w:rsidR="005A15DC" w:rsidRDefault="001D3F20" w:rsidP="005A15DC">
      <w:r w:rsidRPr="003F56BC">
        <w:rPr>
          <w:lang w:val="en-US"/>
        </w:rPr>
        <w:fldChar w:fldCharType="begin"/>
      </w:r>
      <w:r w:rsidRPr="003F56BC">
        <w:rPr>
          <w:lang w:val="en-US"/>
        </w:rPr>
        <w:instrText xml:space="preserve"> REF _Ref142657134 \h </w:instrText>
      </w:r>
      <w:r w:rsidR="00227C5C" w:rsidRPr="00B334F7">
        <w:rPr>
          <w:lang w:val="en-US"/>
        </w:rPr>
        <w:instrText xml:space="preserve"> \* MERGEFORMA</w:instrText>
      </w:r>
      <w:r w:rsidR="00227C5C" w:rsidRPr="003F56BC">
        <w:rPr>
          <w:lang w:val="en-US"/>
        </w:rPr>
        <w:instrText xml:space="preserve">T </w:instrText>
      </w:r>
      <w:r w:rsidRPr="003F56BC">
        <w:rPr>
          <w:lang w:val="en-US"/>
        </w:rPr>
      </w:r>
      <w:r w:rsidRPr="003F56BC">
        <w:rPr>
          <w:lang w:val="en-US"/>
        </w:rPr>
        <w:fldChar w:fldCharType="separate"/>
      </w:r>
      <w:r w:rsidR="004D336C">
        <w:t xml:space="preserve">Figure </w:t>
      </w:r>
      <w:r w:rsidR="004D336C">
        <w:rPr>
          <w:noProof/>
        </w:rPr>
        <w:t>11</w:t>
      </w:r>
      <w:r w:rsidRPr="003F56BC">
        <w:rPr>
          <w:lang w:val="en-US"/>
        </w:rPr>
        <w:fldChar w:fldCharType="end"/>
      </w:r>
      <w:r w:rsidRPr="003F56BC">
        <w:rPr>
          <w:lang w:val="en-US"/>
        </w:rPr>
        <w:t xml:space="preserve"> </w:t>
      </w:r>
      <w:r w:rsidR="003F56BC">
        <w:rPr>
          <w:lang w:val="en-US"/>
        </w:rPr>
        <w:t xml:space="preserve">shows the UL performance of SBFD when there is no aggressor network and when SBFD coexists with TDD DL. </w:t>
      </w:r>
      <w:r w:rsidR="00CA7584">
        <w:rPr>
          <w:lang w:val="en-US"/>
        </w:rPr>
        <w:t xml:space="preserve">First, </w:t>
      </w:r>
      <w:r w:rsidR="00367DF1">
        <w:rPr>
          <w:lang w:val="en-US"/>
        </w:rPr>
        <w:t xml:space="preserve">when coexisting with TDD DL, </w:t>
      </w:r>
      <w:r w:rsidR="00CA7584">
        <w:rPr>
          <w:lang w:val="en-US"/>
        </w:rPr>
        <w:t xml:space="preserve">it is noted that the </w:t>
      </w:r>
      <w:r w:rsidR="00702125">
        <w:rPr>
          <w:lang w:val="en-US"/>
        </w:rPr>
        <w:t xml:space="preserve">BS </w:t>
      </w:r>
      <w:r w:rsidR="00CA7584">
        <w:rPr>
          <w:lang w:val="en-US"/>
        </w:rPr>
        <w:t>receiver is fully blocked at the 5</w:t>
      </w:r>
      <w:r w:rsidR="00CA7584" w:rsidRPr="00B334F7">
        <w:rPr>
          <w:vertAlign w:val="superscript"/>
          <w:lang w:val="en-US"/>
        </w:rPr>
        <w:t>th</w:t>
      </w:r>
      <w:r w:rsidR="00CA7584">
        <w:rPr>
          <w:lang w:val="en-US"/>
        </w:rPr>
        <w:t xml:space="preserve"> percentile due to the presence of strong BS-to-BS ACI generated at the TDD DL aggressor.</w:t>
      </w:r>
      <w:r w:rsidR="00B74403" w:rsidRPr="003F56BC">
        <w:rPr>
          <w:lang w:val="en-US"/>
        </w:rPr>
        <w:t xml:space="preserve"> </w:t>
      </w:r>
      <w:r w:rsidR="00217372">
        <w:rPr>
          <w:lang w:val="en-US"/>
        </w:rPr>
        <w:t>Moreover, the UL SINR for any of the considered cases is below the minimum required UL SINR and therefore the UL throughput is 0.</w:t>
      </w:r>
      <w:r w:rsidR="003C3756">
        <w:rPr>
          <w:lang w:val="en-US"/>
        </w:rPr>
        <w:t xml:space="preserve"> On the average, the BS-to-BS ACI </w:t>
      </w:r>
      <w:r w:rsidR="004B1016">
        <w:rPr>
          <w:lang w:val="en-US"/>
        </w:rPr>
        <w:t>clearly</w:t>
      </w:r>
      <w:r w:rsidR="003C3756">
        <w:rPr>
          <w:lang w:val="en-US"/>
        </w:rPr>
        <w:t xml:space="preserve"> degrades the </w:t>
      </w:r>
      <w:r w:rsidR="009245D8">
        <w:rPr>
          <w:lang w:val="en-US"/>
        </w:rPr>
        <w:t>performance,</w:t>
      </w:r>
      <w:r w:rsidR="003C3756">
        <w:rPr>
          <w:lang w:val="en-US"/>
        </w:rPr>
        <w:t xml:space="preserve"> and it is more noticeable as </w:t>
      </w:r>
      <w:r w:rsidR="009F65DC">
        <w:rPr>
          <w:lang w:val="en-US"/>
        </w:rPr>
        <w:t>the distance between victim and aggressor base stations decreases</w:t>
      </w:r>
      <w:r w:rsidR="007072E4">
        <w:rPr>
          <w:lang w:val="en-US"/>
        </w:rPr>
        <w:t>, i.e., 10% grid offset</w:t>
      </w:r>
      <w:r w:rsidR="009F65DC">
        <w:rPr>
          <w:lang w:val="en-US"/>
        </w:rPr>
        <w:t>.</w:t>
      </w:r>
      <w:r w:rsidR="004B1016">
        <w:rPr>
          <w:lang w:val="en-US"/>
        </w:rPr>
        <w:t xml:space="preserve"> The trends are very similar regardless of which type of antenna configuration is adopted at the victim </w:t>
      </w:r>
      <w:r w:rsidR="009245D8">
        <w:rPr>
          <w:lang w:val="en-US"/>
        </w:rPr>
        <w:t>base stations.</w:t>
      </w:r>
      <w:r w:rsidR="003C2535" w:rsidRPr="003C2535">
        <w:t xml:space="preserve"> </w:t>
      </w:r>
    </w:p>
    <w:p w14:paraId="65957811" w14:textId="294971BD" w:rsidR="000D2060" w:rsidRDefault="009245D8" w:rsidP="00B334F7">
      <w:pPr>
        <w:jc w:val="center"/>
      </w:pPr>
      <w:r w:rsidRPr="009245D8">
        <w:rPr>
          <w:noProof/>
        </w:rPr>
        <w:drawing>
          <wp:inline distT="0" distB="0" distL="0" distR="0" wp14:anchorId="45EA2CF1" wp14:editId="3190F663">
            <wp:extent cx="4698880" cy="2829432"/>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rotWithShape="1">
                    <a:blip r:embed="rId23">
                      <a:extLst>
                        <a:ext uri="{28A0092B-C50C-407E-A947-70E740481C1C}">
                          <a14:useLocalDpi xmlns:a14="http://schemas.microsoft.com/office/drawing/2010/main" val="0"/>
                        </a:ext>
                      </a:extLst>
                    </a:blip>
                    <a:srcRect l="7801" t="3039" r="7553" b="5326"/>
                    <a:stretch/>
                  </pic:blipFill>
                  <pic:spPr bwMode="auto">
                    <a:xfrm>
                      <a:off x="0" y="0"/>
                      <a:ext cx="4709296" cy="2835704"/>
                    </a:xfrm>
                    <a:prstGeom prst="rect">
                      <a:avLst/>
                    </a:prstGeom>
                    <a:noFill/>
                    <a:ln>
                      <a:noFill/>
                    </a:ln>
                    <a:extLst>
                      <a:ext uri="{53640926-AAD7-44D8-BBD7-CCE9431645EC}">
                        <a14:shadowObscured xmlns:a14="http://schemas.microsoft.com/office/drawing/2010/main"/>
                      </a:ext>
                    </a:extLst>
                  </pic:spPr>
                </pic:pic>
              </a:graphicData>
            </a:graphic>
          </wp:inline>
        </w:drawing>
      </w:r>
    </w:p>
    <w:p w14:paraId="521B7001" w14:textId="1C5F8926" w:rsidR="00A15ED8" w:rsidRDefault="000D2060" w:rsidP="00B334F7">
      <w:pPr>
        <w:pStyle w:val="Caption"/>
        <w:jc w:val="center"/>
      </w:pPr>
      <w:bookmarkStart w:id="33" w:name="_Ref142657134"/>
      <w:r>
        <w:t xml:space="preserve">Figure </w:t>
      </w:r>
      <w:r>
        <w:fldChar w:fldCharType="begin"/>
      </w:r>
      <w:r>
        <w:instrText xml:space="preserve"> SEQ Figure \* ARABIC </w:instrText>
      </w:r>
      <w:r>
        <w:fldChar w:fldCharType="separate"/>
      </w:r>
      <w:r w:rsidR="004D336C">
        <w:rPr>
          <w:noProof/>
        </w:rPr>
        <w:t>11</w:t>
      </w:r>
      <w:r>
        <w:fldChar w:fldCharType="end"/>
      </w:r>
      <w:bookmarkEnd w:id="33"/>
      <w:r>
        <w:t xml:space="preserve">. </w:t>
      </w:r>
      <w:r w:rsidR="003C2535">
        <w:t>Comparison of UL SINR and UL throughput for Case 3 Urban Macro scenario</w:t>
      </w:r>
    </w:p>
    <w:p w14:paraId="14CEA1DA" w14:textId="77777777" w:rsidR="003C2535" w:rsidRDefault="003C2535" w:rsidP="007B5793">
      <w:pPr>
        <w:rPr>
          <w:lang w:val="en-US"/>
        </w:rPr>
      </w:pPr>
    </w:p>
    <w:p w14:paraId="67C90D88" w14:textId="602C68DC" w:rsidR="00D27980" w:rsidRDefault="002000B2" w:rsidP="00B57EF2">
      <w:pPr>
        <w:rPr>
          <w:lang w:val="en-US"/>
        </w:rPr>
      </w:pPr>
      <w:r>
        <w:rPr>
          <w:lang w:val="en-US"/>
        </w:rPr>
        <w:fldChar w:fldCharType="begin"/>
      </w:r>
      <w:r>
        <w:rPr>
          <w:lang w:val="en-US"/>
        </w:rPr>
        <w:instrText xml:space="preserve"> REF _Ref146692779 \h </w:instrText>
      </w:r>
      <w:r>
        <w:rPr>
          <w:lang w:val="en-US"/>
        </w:rPr>
      </w:r>
      <w:r>
        <w:rPr>
          <w:lang w:val="en-US"/>
        </w:rPr>
        <w:fldChar w:fldCharType="separate"/>
      </w:r>
      <w:r w:rsidR="004D336C">
        <w:t xml:space="preserve">Table </w:t>
      </w:r>
      <w:r w:rsidR="004D336C">
        <w:rPr>
          <w:noProof/>
        </w:rPr>
        <w:t>11</w:t>
      </w:r>
      <w:r>
        <w:rPr>
          <w:lang w:val="en-US"/>
        </w:rPr>
        <w:fldChar w:fldCharType="end"/>
      </w:r>
      <w:r>
        <w:rPr>
          <w:lang w:val="en-US"/>
        </w:rPr>
        <w:t xml:space="preserve"> </w:t>
      </w:r>
      <w:r w:rsidR="00B57EF2">
        <w:rPr>
          <w:lang w:val="en-US"/>
        </w:rPr>
        <w:t xml:space="preserve">includes the coexistence performance </w:t>
      </w:r>
      <w:r w:rsidR="00F31BD1">
        <w:rPr>
          <w:lang w:val="en-US"/>
        </w:rPr>
        <w:t xml:space="preserve">summary </w:t>
      </w:r>
      <w:r w:rsidR="00B57EF2">
        <w:rPr>
          <w:lang w:val="en-US"/>
        </w:rPr>
        <w:t xml:space="preserve">of SBFD in both DL and UL when TDD DL acts as the aggressor network. The table includes different grid offsets and highlights the throughput degradation values above 5%. </w:t>
      </w:r>
      <w:r w:rsidR="00F31BD1">
        <w:rPr>
          <w:lang w:val="en-US"/>
        </w:rPr>
        <w:lastRenderedPageBreak/>
        <w:t xml:space="preserve">The table also includes the DL performance of SBFD when </w:t>
      </w:r>
      <w:r w:rsidR="00FD3E02">
        <w:rPr>
          <w:lang w:val="en-US"/>
        </w:rPr>
        <w:t>coexisting with TDD DL. For such case, we note that the degradation due to ACI is quite low for all the considered cases.</w:t>
      </w:r>
    </w:p>
    <w:p w14:paraId="128AA4F3" w14:textId="4EDAC407" w:rsidR="00006AA5" w:rsidRDefault="00006AA5" w:rsidP="00B334F7">
      <w:pPr>
        <w:pStyle w:val="Caption"/>
        <w:keepNext/>
      </w:pPr>
      <w:bookmarkStart w:id="34" w:name="_Ref146692779"/>
      <w:r>
        <w:t xml:space="preserve">Table </w:t>
      </w:r>
      <w:r>
        <w:fldChar w:fldCharType="begin"/>
      </w:r>
      <w:r>
        <w:instrText xml:space="preserve"> SEQ Table \* ARABIC </w:instrText>
      </w:r>
      <w:r>
        <w:fldChar w:fldCharType="separate"/>
      </w:r>
      <w:r w:rsidR="004D336C">
        <w:rPr>
          <w:noProof/>
        </w:rPr>
        <w:t>11</w:t>
      </w:r>
      <w:r>
        <w:fldChar w:fldCharType="end"/>
      </w:r>
      <w:bookmarkEnd w:id="34"/>
      <w:r>
        <w:t>. Performance summary for Case 3 Urban Macro scenario</w:t>
      </w:r>
    </w:p>
    <w:tbl>
      <w:tblPr>
        <w:tblW w:w="9309" w:type="dxa"/>
        <w:tblLook w:val="04A0" w:firstRow="1" w:lastRow="0" w:firstColumn="1" w:lastColumn="0" w:noHBand="0" w:noVBand="1"/>
      </w:tblPr>
      <w:tblGrid>
        <w:gridCol w:w="691"/>
        <w:gridCol w:w="910"/>
        <w:gridCol w:w="741"/>
        <w:gridCol w:w="1141"/>
        <w:gridCol w:w="741"/>
        <w:gridCol w:w="791"/>
        <w:gridCol w:w="910"/>
        <w:gridCol w:w="1012"/>
        <w:gridCol w:w="778"/>
        <w:gridCol w:w="793"/>
        <w:gridCol w:w="794"/>
        <w:gridCol w:w="7"/>
      </w:tblGrid>
      <w:tr w:rsidR="00D27980" w:rsidRPr="00D27980" w14:paraId="665C72E4" w14:textId="77777777" w:rsidTr="00B334F7">
        <w:trPr>
          <w:trHeight w:val="310"/>
        </w:trPr>
        <w:tc>
          <w:tcPr>
            <w:tcW w:w="930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5A82E5"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1: FR1 Urban Macro</w:t>
            </w:r>
            <w:r w:rsidRPr="00B334F7">
              <w:rPr>
                <w:rFonts w:ascii="Times New Roman" w:eastAsia="Times New Roman" w:hAnsi="Times New Roman" w:cs="Times New Roman"/>
                <w:b/>
                <w:bCs/>
                <w:sz w:val="16"/>
                <w:szCs w:val="16"/>
                <w:lang w:val="en-US"/>
              </w:rPr>
              <w:br/>
              <w:t>Case 3: SBFD as victim with TDD DL as aggressor</w:t>
            </w:r>
          </w:p>
        </w:tc>
      </w:tr>
      <w:tr w:rsidR="00006AA5" w:rsidRPr="00006AA5" w14:paraId="3481B3B0" w14:textId="77777777" w:rsidTr="00B334F7">
        <w:trPr>
          <w:gridAfter w:val="1"/>
          <w:wAfter w:w="7" w:type="dxa"/>
          <w:trHeight w:val="295"/>
        </w:trPr>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03B07DA8"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hideMark/>
          </w:tcPr>
          <w:p w14:paraId="24D14DEE"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CA76A46"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049" w:type="dxa"/>
            <w:vMerge w:val="restart"/>
            <w:tcBorders>
              <w:top w:val="nil"/>
              <w:left w:val="single" w:sz="4" w:space="0" w:color="auto"/>
              <w:bottom w:val="single" w:sz="4" w:space="0" w:color="auto"/>
              <w:right w:val="single" w:sz="4" w:space="0" w:color="auto"/>
            </w:tcBorders>
            <w:shd w:val="clear" w:color="auto" w:fill="auto"/>
            <w:vAlign w:val="center"/>
            <w:hideMark/>
          </w:tcPr>
          <w:p w14:paraId="0DA4A57F"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06DB71B"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0C16429B"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hideMark/>
          </w:tcPr>
          <w:p w14:paraId="4D05E5D6"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17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4F2A8D"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5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2069A5"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B65919" w:rsidRPr="00D27980" w14:paraId="19F7DEF0" w14:textId="77777777" w:rsidTr="00FD100E">
        <w:trPr>
          <w:gridAfter w:val="1"/>
          <w:wAfter w:w="7" w:type="dxa"/>
          <w:trHeight w:val="295"/>
        </w:trPr>
        <w:tc>
          <w:tcPr>
            <w:tcW w:w="789" w:type="dxa"/>
            <w:vMerge/>
            <w:tcBorders>
              <w:top w:val="nil"/>
              <w:left w:val="single" w:sz="4" w:space="0" w:color="auto"/>
              <w:bottom w:val="single" w:sz="4" w:space="0" w:color="auto"/>
              <w:right w:val="single" w:sz="4" w:space="0" w:color="auto"/>
            </w:tcBorders>
            <w:vAlign w:val="center"/>
            <w:hideMark/>
          </w:tcPr>
          <w:p w14:paraId="6ED72B1F"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1" w:type="dxa"/>
            <w:vMerge/>
            <w:tcBorders>
              <w:top w:val="nil"/>
              <w:left w:val="single" w:sz="4" w:space="0" w:color="auto"/>
              <w:bottom w:val="single" w:sz="4" w:space="0" w:color="auto"/>
              <w:right w:val="single" w:sz="4" w:space="0" w:color="auto"/>
            </w:tcBorders>
            <w:vAlign w:val="center"/>
            <w:hideMark/>
          </w:tcPr>
          <w:p w14:paraId="4F9E2957"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02" w:type="dxa"/>
            <w:vMerge/>
            <w:tcBorders>
              <w:top w:val="nil"/>
              <w:left w:val="single" w:sz="4" w:space="0" w:color="auto"/>
              <w:bottom w:val="single" w:sz="4" w:space="0" w:color="auto"/>
              <w:right w:val="single" w:sz="4" w:space="0" w:color="auto"/>
            </w:tcBorders>
            <w:vAlign w:val="center"/>
            <w:hideMark/>
          </w:tcPr>
          <w:p w14:paraId="01A4C9CC"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049" w:type="dxa"/>
            <w:vMerge/>
            <w:tcBorders>
              <w:top w:val="nil"/>
              <w:left w:val="single" w:sz="4" w:space="0" w:color="auto"/>
              <w:bottom w:val="single" w:sz="4" w:space="0" w:color="auto"/>
              <w:right w:val="single" w:sz="4" w:space="0" w:color="auto"/>
            </w:tcBorders>
            <w:vAlign w:val="center"/>
            <w:hideMark/>
          </w:tcPr>
          <w:p w14:paraId="29DE4CC2"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02" w:type="dxa"/>
            <w:vMerge/>
            <w:tcBorders>
              <w:top w:val="nil"/>
              <w:left w:val="single" w:sz="4" w:space="0" w:color="auto"/>
              <w:bottom w:val="single" w:sz="4" w:space="0" w:color="auto"/>
              <w:right w:val="single" w:sz="4" w:space="0" w:color="auto"/>
            </w:tcBorders>
            <w:vAlign w:val="center"/>
            <w:hideMark/>
          </w:tcPr>
          <w:p w14:paraId="50338A6A"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01" w:type="dxa"/>
            <w:vMerge/>
            <w:tcBorders>
              <w:top w:val="nil"/>
              <w:left w:val="single" w:sz="4" w:space="0" w:color="auto"/>
              <w:bottom w:val="single" w:sz="4" w:space="0" w:color="auto"/>
              <w:right w:val="single" w:sz="4" w:space="0" w:color="auto"/>
            </w:tcBorders>
            <w:vAlign w:val="center"/>
            <w:hideMark/>
          </w:tcPr>
          <w:p w14:paraId="6451E4FA"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1" w:type="dxa"/>
            <w:vMerge/>
            <w:tcBorders>
              <w:top w:val="nil"/>
              <w:left w:val="single" w:sz="4" w:space="0" w:color="auto"/>
              <w:bottom w:val="single" w:sz="4" w:space="0" w:color="auto"/>
              <w:right w:val="single" w:sz="4" w:space="0" w:color="auto"/>
            </w:tcBorders>
            <w:vAlign w:val="center"/>
            <w:hideMark/>
          </w:tcPr>
          <w:p w14:paraId="34CA3286"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90" w:type="dxa"/>
            <w:gridSpan w:val="2"/>
            <w:vMerge/>
            <w:tcBorders>
              <w:top w:val="single" w:sz="4" w:space="0" w:color="auto"/>
              <w:left w:val="single" w:sz="4" w:space="0" w:color="auto"/>
              <w:bottom w:val="single" w:sz="4" w:space="0" w:color="auto"/>
              <w:right w:val="single" w:sz="4" w:space="0" w:color="auto"/>
            </w:tcBorders>
            <w:vAlign w:val="center"/>
            <w:hideMark/>
          </w:tcPr>
          <w:p w14:paraId="4C010124"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587" w:type="dxa"/>
            <w:gridSpan w:val="2"/>
            <w:vMerge/>
            <w:tcBorders>
              <w:top w:val="single" w:sz="4" w:space="0" w:color="auto"/>
              <w:left w:val="single" w:sz="4" w:space="0" w:color="auto"/>
              <w:bottom w:val="single" w:sz="4" w:space="0" w:color="auto"/>
              <w:right w:val="single" w:sz="4" w:space="0" w:color="auto"/>
            </w:tcBorders>
            <w:vAlign w:val="center"/>
            <w:hideMark/>
          </w:tcPr>
          <w:p w14:paraId="5D95A056"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B65919" w:rsidRPr="00D27980" w14:paraId="31CD1A05" w14:textId="77777777" w:rsidTr="00FD100E">
        <w:trPr>
          <w:gridAfter w:val="1"/>
          <w:wAfter w:w="9" w:type="dxa"/>
          <w:trHeight w:val="295"/>
        </w:trPr>
        <w:tc>
          <w:tcPr>
            <w:tcW w:w="789" w:type="dxa"/>
            <w:vMerge/>
            <w:tcBorders>
              <w:top w:val="nil"/>
              <w:left w:val="single" w:sz="4" w:space="0" w:color="auto"/>
              <w:bottom w:val="single" w:sz="4" w:space="0" w:color="auto"/>
              <w:right w:val="single" w:sz="4" w:space="0" w:color="auto"/>
            </w:tcBorders>
            <w:vAlign w:val="center"/>
            <w:hideMark/>
          </w:tcPr>
          <w:p w14:paraId="55305B27"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1" w:type="dxa"/>
            <w:vMerge/>
            <w:tcBorders>
              <w:top w:val="nil"/>
              <w:left w:val="single" w:sz="4" w:space="0" w:color="auto"/>
              <w:bottom w:val="single" w:sz="4" w:space="0" w:color="auto"/>
              <w:right w:val="single" w:sz="4" w:space="0" w:color="auto"/>
            </w:tcBorders>
            <w:vAlign w:val="center"/>
            <w:hideMark/>
          </w:tcPr>
          <w:p w14:paraId="3B25C953"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02" w:type="dxa"/>
            <w:vMerge/>
            <w:tcBorders>
              <w:top w:val="nil"/>
              <w:left w:val="single" w:sz="4" w:space="0" w:color="auto"/>
              <w:bottom w:val="single" w:sz="4" w:space="0" w:color="auto"/>
              <w:right w:val="single" w:sz="4" w:space="0" w:color="auto"/>
            </w:tcBorders>
            <w:vAlign w:val="center"/>
            <w:hideMark/>
          </w:tcPr>
          <w:p w14:paraId="33A94D0B"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049" w:type="dxa"/>
            <w:vMerge/>
            <w:tcBorders>
              <w:top w:val="nil"/>
              <w:left w:val="single" w:sz="4" w:space="0" w:color="auto"/>
              <w:bottom w:val="single" w:sz="4" w:space="0" w:color="auto"/>
              <w:right w:val="single" w:sz="4" w:space="0" w:color="auto"/>
            </w:tcBorders>
            <w:vAlign w:val="center"/>
            <w:hideMark/>
          </w:tcPr>
          <w:p w14:paraId="00FD7B50"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02" w:type="dxa"/>
            <w:vMerge/>
            <w:tcBorders>
              <w:top w:val="nil"/>
              <w:left w:val="single" w:sz="4" w:space="0" w:color="auto"/>
              <w:bottom w:val="single" w:sz="4" w:space="0" w:color="auto"/>
              <w:right w:val="single" w:sz="4" w:space="0" w:color="auto"/>
            </w:tcBorders>
            <w:vAlign w:val="center"/>
            <w:hideMark/>
          </w:tcPr>
          <w:p w14:paraId="17705726"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01" w:type="dxa"/>
            <w:vMerge/>
            <w:tcBorders>
              <w:top w:val="nil"/>
              <w:left w:val="single" w:sz="4" w:space="0" w:color="auto"/>
              <w:bottom w:val="single" w:sz="4" w:space="0" w:color="auto"/>
              <w:right w:val="single" w:sz="4" w:space="0" w:color="auto"/>
            </w:tcBorders>
            <w:vAlign w:val="center"/>
            <w:hideMark/>
          </w:tcPr>
          <w:p w14:paraId="4BCC114A"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1" w:type="dxa"/>
            <w:vMerge/>
            <w:tcBorders>
              <w:top w:val="nil"/>
              <w:left w:val="single" w:sz="4" w:space="0" w:color="auto"/>
              <w:bottom w:val="single" w:sz="4" w:space="0" w:color="auto"/>
              <w:right w:val="single" w:sz="4" w:space="0" w:color="auto"/>
            </w:tcBorders>
            <w:vAlign w:val="center"/>
            <w:hideMark/>
          </w:tcPr>
          <w:p w14:paraId="6EC029F8" w14:textId="77777777" w:rsidR="00D27980" w:rsidRPr="00B334F7" w:rsidRDefault="00D27980" w:rsidP="00D27980">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012" w:type="dxa"/>
            <w:tcBorders>
              <w:top w:val="nil"/>
              <w:left w:val="nil"/>
              <w:bottom w:val="single" w:sz="4" w:space="0" w:color="auto"/>
              <w:right w:val="single" w:sz="4" w:space="0" w:color="auto"/>
            </w:tcBorders>
            <w:shd w:val="clear" w:color="auto" w:fill="auto"/>
            <w:vAlign w:val="center"/>
            <w:hideMark/>
          </w:tcPr>
          <w:p w14:paraId="5D170EC5"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777" w:type="dxa"/>
            <w:tcBorders>
              <w:top w:val="nil"/>
              <w:left w:val="nil"/>
              <w:bottom w:val="single" w:sz="4" w:space="0" w:color="auto"/>
              <w:right w:val="single" w:sz="4" w:space="0" w:color="auto"/>
            </w:tcBorders>
            <w:shd w:val="clear" w:color="auto" w:fill="auto"/>
            <w:vAlign w:val="center"/>
            <w:hideMark/>
          </w:tcPr>
          <w:p w14:paraId="589E892F"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793" w:type="dxa"/>
            <w:tcBorders>
              <w:top w:val="nil"/>
              <w:left w:val="nil"/>
              <w:bottom w:val="single" w:sz="4" w:space="0" w:color="auto"/>
              <w:right w:val="single" w:sz="4" w:space="0" w:color="auto"/>
            </w:tcBorders>
            <w:shd w:val="clear" w:color="auto" w:fill="auto"/>
            <w:vAlign w:val="center"/>
            <w:hideMark/>
          </w:tcPr>
          <w:p w14:paraId="5501C64F"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793" w:type="dxa"/>
            <w:tcBorders>
              <w:top w:val="nil"/>
              <w:left w:val="nil"/>
              <w:bottom w:val="single" w:sz="4" w:space="0" w:color="auto"/>
              <w:right w:val="single" w:sz="4" w:space="0" w:color="auto"/>
            </w:tcBorders>
            <w:shd w:val="clear" w:color="auto" w:fill="auto"/>
            <w:vAlign w:val="center"/>
            <w:hideMark/>
          </w:tcPr>
          <w:p w14:paraId="4021B6AA" w14:textId="77777777" w:rsidR="00D27980" w:rsidRPr="00B334F7" w:rsidRDefault="00D27980" w:rsidP="00D27980">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B65919" w:rsidRPr="00D27980" w14:paraId="72AC50D3" w14:textId="77777777" w:rsidTr="00FD100E">
        <w:trPr>
          <w:gridAfter w:val="1"/>
          <w:wAfter w:w="9" w:type="dxa"/>
          <w:trHeight w:val="442"/>
        </w:trPr>
        <w:tc>
          <w:tcPr>
            <w:tcW w:w="789" w:type="dxa"/>
            <w:tcBorders>
              <w:top w:val="nil"/>
              <w:left w:val="single" w:sz="4" w:space="0" w:color="auto"/>
              <w:bottom w:val="single" w:sz="4" w:space="0" w:color="auto"/>
              <w:right w:val="single" w:sz="4" w:space="0" w:color="auto"/>
            </w:tcBorders>
            <w:shd w:val="clear" w:color="auto" w:fill="auto"/>
            <w:vAlign w:val="center"/>
            <w:hideMark/>
          </w:tcPr>
          <w:p w14:paraId="246C0597"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100%</w:t>
            </w:r>
          </w:p>
        </w:tc>
        <w:tc>
          <w:tcPr>
            <w:tcW w:w="841" w:type="dxa"/>
            <w:vMerge w:val="restart"/>
            <w:tcBorders>
              <w:top w:val="nil"/>
              <w:left w:val="single" w:sz="4" w:space="0" w:color="auto"/>
              <w:bottom w:val="single" w:sz="4" w:space="0" w:color="000000"/>
              <w:right w:val="single" w:sz="4" w:space="0" w:color="auto"/>
            </w:tcBorders>
            <w:shd w:val="clear" w:color="auto" w:fill="auto"/>
            <w:vAlign w:val="center"/>
            <w:hideMark/>
          </w:tcPr>
          <w:p w14:paraId="5F1F282D"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TDD DL</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9553AA3"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SBFD DL</w:t>
            </w:r>
          </w:p>
        </w:tc>
        <w:tc>
          <w:tcPr>
            <w:tcW w:w="1049" w:type="dxa"/>
            <w:tcBorders>
              <w:top w:val="nil"/>
              <w:left w:val="nil"/>
              <w:bottom w:val="single" w:sz="4" w:space="0" w:color="auto"/>
              <w:right w:val="single" w:sz="4" w:space="0" w:color="auto"/>
            </w:tcBorders>
            <w:shd w:val="clear" w:color="auto" w:fill="auto"/>
            <w:vAlign w:val="center"/>
            <w:hideMark/>
          </w:tcPr>
          <w:p w14:paraId="65B75575"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Option 1 (same size)</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55645F7"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Option 2:</w:t>
            </w:r>
            <w:r w:rsidRPr="00D27980">
              <w:rPr>
                <w:rFonts w:ascii="Times New Roman" w:eastAsia="Times New Roman" w:hAnsi="Times New Roman" w:cs="Times New Roman"/>
                <w:sz w:val="16"/>
                <w:szCs w:val="16"/>
                <w:lang w:val="en-US"/>
              </w:rPr>
              <w:br/>
              <w:t>SBFD: 50 dBm</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19C6F41E"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Enabled, without sub-band filtering</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hideMark/>
          </w:tcPr>
          <w:p w14:paraId="008FDF25" w14:textId="46CA5AA5"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TDD: 53 dBm</w:t>
            </w:r>
          </w:p>
        </w:tc>
        <w:tc>
          <w:tcPr>
            <w:tcW w:w="1012" w:type="dxa"/>
            <w:tcBorders>
              <w:top w:val="nil"/>
              <w:left w:val="nil"/>
              <w:bottom w:val="single" w:sz="4" w:space="0" w:color="auto"/>
              <w:right w:val="single" w:sz="4" w:space="0" w:color="auto"/>
            </w:tcBorders>
            <w:shd w:val="clear" w:color="auto" w:fill="auto"/>
            <w:noWrap/>
            <w:vAlign w:val="center"/>
            <w:hideMark/>
          </w:tcPr>
          <w:p w14:paraId="2A70436B"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0.06</w:t>
            </w:r>
          </w:p>
        </w:tc>
        <w:tc>
          <w:tcPr>
            <w:tcW w:w="777" w:type="dxa"/>
            <w:tcBorders>
              <w:top w:val="nil"/>
              <w:left w:val="nil"/>
              <w:bottom w:val="single" w:sz="4" w:space="0" w:color="auto"/>
              <w:right w:val="single" w:sz="4" w:space="0" w:color="auto"/>
            </w:tcBorders>
            <w:shd w:val="clear" w:color="auto" w:fill="auto"/>
            <w:noWrap/>
            <w:vAlign w:val="center"/>
            <w:hideMark/>
          </w:tcPr>
          <w:p w14:paraId="2FD72375"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0.06</w:t>
            </w:r>
          </w:p>
        </w:tc>
        <w:tc>
          <w:tcPr>
            <w:tcW w:w="793" w:type="dxa"/>
            <w:tcBorders>
              <w:top w:val="nil"/>
              <w:left w:val="nil"/>
              <w:bottom w:val="single" w:sz="4" w:space="0" w:color="auto"/>
              <w:right w:val="single" w:sz="4" w:space="0" w:color="auto"/>
            </w:tcBorders>
            <w:shd w:val="clear" w:color="auto" w:fill="auto"/>
            <w:noWrap/>
            <w:vAlign w:val="center"/>
            <w:hideMark/>
          </w:tcPr>
          <w:p w14:paraId="6B781EB3"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0.71</w:t>
            </w:r>
          </w:p>
        </w:tc>
        <w:tc>
          <w:tcPr>
            <w:tcW w:w="793" w:type="dxa"/>
            <w:tcBorders>
              <w:top w:val="nil"/>
              <w:left w:val="nil"/>
              <w:bottom w:val="single" w:sz="4" w:space="0" w:color="auto"/>
              <w:right w:val="single" w:sz="4" w:space="0" w:color="auto"/>
            </w:tcBorders>
            <w:shd w:val="clear" w:color="auto" w:fill="auto"/>
            <w:noWrap/>
            <w:vAlign w:val="center"/>
            <w:hideMark/>
          </w:tcPr>
          <w:p w14:paraId="7A3E9D64"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0.53</w:t>
            </w:r>
          </w:p>
        </w:tc>
      </w:tr>
      <w:tr w:rsidR="00B65919" w:rsidRPr="00D27980" w14:paraId="0FAE4CF2" w14:textId="77777777" w:rsidTr="00FD100E">
        <w:trPr>
          <w:gridAfter w:val="1"/>
          <w:wAfter w:w="9" w:type="dxa"/>
          <w:trHeight w:val="442"/>
        </w:trPr>
        <w:tc>
          <w:tcPr>
            <w:tcW w:w="789" w:type="dxa"/>
            <w:tcBorders>
              <w:top w:val="nil"/>
              <w:left w:val="single" w:sz="4" w:space="0" w:color="auto"/>
              <w:bottom w:val="single" w:sz="4" w:space="0" w:color="auto"/>
              <w:right w:val="single" w:sz="4" w:space="0" w:color="auto"/>
            </w:tcBorders>
            <w:shd w:val="clear" w:color="auto" w:fill="auto"/>
            <w:vAlign w:val="center"/>
            <w:hideMark/>
          </w:tcPr>
          <w:p w14:paraId="57A5A33D"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10%</w:t>
            </w:r>
          </w:p>
        </w:tc>
        <w:tc>
          <w:tcPr>
            <w:tcW w:w="841" w:type="dxa"/>
            <w:vMerge/>
            <w:tcBorders>
              <w:top w:val="nil"/>
              <w:left w:val="single" w:sz="4" w:space="0" w:color="auto"/>
              <w:bottom w:val="single" w:sz="4" w:space="0" w:color="000000"/>
              <w:right w:val="single" w:sz="4" w:space="0" w:color="auto"/>
            </w:tcBorders>
            <w:vAlign w:val="center"/>
            <w:hideMark/>
          </w:tcPr>
          <w:p w14:paraId="08744D48"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2" w:type="dxa"/>
            <w:vMerge/>
            <w:tcBorders>
              <w:top w:val="nil"/>
              <w:left w:val="single" w:sz="4" w:space="0" w:color="auto"/>
              <w:bottom w:val="single" w:sz="4" w:space="0" w:color="auto"/>
              <w:right w:val="single" w:sz="4" w:space="0" w:color="auto"/>
            </w:tcBorders>
            <w:vAlign w:val="center"/>
            <w:hideMark/>
          </w:tcPr>
          <w:p w14:paraId="70C568C5"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49" w:type="dxa"/>
            <w:tcBorders>
              <w:top w:val="nil"/>
              <w:left w:val="nil"/>
              <w:bottom w:val="single" w:sz="4" w:space="0" w:color="auto"/>
              <w:right w:val="single" w:sz="4" w:space="0" w:color="auto"/>
            </w:tcBorders>
            <w:shd w:val="clear" w:color="auto" w:fill="auto"/>
            <w:vAlign w:val="center"/>
            <w:hideMark/>
          </w:tcPr>
          <w:p w14:paraId="60512E72"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Option 1 (same size)</w:t>
            </w:r>
          </w:p>
        </w:tc>
        <w:tc>
          <w:tcPr>
            <w:tcW w:w="802" w:type="dxa"/>
            <w:vMerge/>
            <w:tcBorders>
              <w:top w:val="nil"/>
              <w:left w:val="single" w:sz="4" w:space="0" w:color="auto"/>
              <w:bottom w:val="single" w:sz="4" w:space="0" w:color="auto"/>
              <w:right w:val="single" w:sz="4" w:space="0" w:color="auto"/>
            </w:tcBorders>
            <w:vAlign w:val="center"/>
            <w:hideMark/>
          </w:tcPr>
          <w:p w14:paraId="256FC660"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1" w:type="dxa"/>
            <w:vMerge/>
            <w:tcBorders>
              <w:top w:val="nil"/>
              <w:left w:val="single" w:sz="4" w:space="0" w:color="auto"/>
              <w:bottom w:val="single" w:sz="4" w:space="0" w:color="auto"/>
              <w:right w:val="single" w:sz="4" w:space="0" w:color="auto"/>
            </w:tcBorders>
            <w:vAlign w:val="center"/>
            <w:hideMark/>
          </w:tcPr>
          <w:p w14:paraId="4C1A071F"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1" w:type="dxa"/>
            <w:vMerge/>
            <w:tcBorders>
              <w:top w:val="nil"/>
              <w:left w:val="single" w:sz="4" w:space="0" w:color="auto"/>
              <w:bottom w:val="single" w:sz="4" w:space="0" w:color="auto"/>
              <w:right w:val="single" w:sz="4" w:space="0" w:color="auto"/>
            </w:tcBorders>
            <w:vAlign w:val="center"/>
            <w:hideMark/>
          </w:tcPr>
          <w:p w14:paraId="1D901D96"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12" w:type="dxa"/>
            <w:tcBorders>
              <w:top w:val="nil"/>
              <w:left w:val="nil"/>
              <w:bottom w:val="single" w:sz="4" w:space="0" w:color="auto"/>
              <w:right w:val="single" w:sz="4" w:space="0" w:color="auto"/>
            </w:tcBorders>
            <w:shd w:val="clear" w:color="auto" w:fill="auto"/>
            <w:noWrap/>
            <w:vAlign w:val="center"/>
            <w:hideMark/>
          </w:tcPr>
          <w:p w14:paraId="3CCBB77E"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0.04</w:t>
            </w:r>
          </w:p>
        </w:tc>
        <w:tc>
          <w:tcPr>
            <w:tcW w:w="777" w:type="dxa"/>
            <w:tcBorders>
              <w:top w:val="nil"/>
              <w:left w:val="nil"/>
              <w:bottom w:val="single" w:sz="4" w:space="0" w:color="auto"/>
              <w:right w:val="single" w:sz="4" w:space="0" w:color="auto"/>
            </w:tcBorders>
            <w:shd w:val="clear" w:color="auto" w:fill="auto"/>
            <w:noWrap/>
            <w:vAlign w:val="center"/>
            <w:hideMark/>
          </w:tcPr>
          <w:p w14:paraId="6E4B38DC"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0.13</w:t>
            </w:r>
          </w:p>
        </w:tc>
        <w:tc>
          <w:tcPr>
            <w:tcW w:w="793" w:type="dxa"/>
            <w:tcBorders>
              <w:top w:val="nil"/>
              <w:left w:val="nil"/>
              <w:bottom w:val="single" w:sz="4" w:space="0" w:color="auto"/>
              <w:right w:val="single" w:sz="4" w:space="0" w:color="auto"/>
            </w:tcBorders>
            <w:shd w:val="clear" w:color="auto" w:fill="auto"/>
            <w:noWrap/>
            <w:vAlign w:val="center"/>
            <w:hideMark/>
          </w:tcPr>
          <w:p w14:paraId="56D132D3"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0.52</w:t>
            </w:r>
          </w:p>
        </w:tc>
        <w:tc>
          <w:tcPr>
            <w:tcW w:w="793" w:type="dxa"/>
            <w:tcBorders>
              <w:top w:val="nil"/>
              <w:left w:val="nil"/>
              <w:bottom w:val="single" w:sz="4" w:space="0" w:color="auto"/>
              <w:right w:val="single" w:sz="4" w:space="0" w:color="auto"/>
            </w:tcBorders>
            <w:shd w:val="clear" w:color="auto" w:fill="auto"/>
            <w:noWrap/>
            <w:vAlign w:val="center"/>
            <w:hideMark/>
          </w:tcPr>
          <w:p w14:paraId="3297BFDD"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0.75</w:t>
            </w:r>
          </w:p>
        </w:tc>
      </w:tr>
      <w:tr w:rsidR="00A94381" w:rsidRPr="00D27980" w14:paraId="5300AFB4" w14:textId="77777777" w:rsidTr="00FD100E">
        <w:trPr>
          <w:trHeight w:val="442"/>
        </w:trPr>
        <w:tc>
          <w:tcPr>
            <w:tcW w:w="789" w:type="dxa"/>
            <w:tcBorders>
              <w:top w:val="nil"/>
              <w:left w:val="single" w:sz="4" w:space="0" w:color="auto"/>
              <w:bottom w:val="single" w:sz="4" w:space="0" w:color="auto"/>
              <w:right w:val="single" w:sz="4" w:space="0" w:color="auto"/>
            </w:tcBorders>
            <w:shd w:val="clear" w:color="auto" w:fill="auto"/>
            <w:vAlign w:val="center"/>
            <w:hideMark/>
          </w:tcPr>
          <w:p w14:paraId="2CCAA78D"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100%</w:t>
            </w:r>
          </w:p>
        </w:tc>
        <w:tc>
          <w:tcPr>
            <w:tcW w:w="841" w:type="dxa"/>
            <w:tcBorders>
              <w:top w:val="nil"/>
              <w:left w:val="single" w:sz="4" w:space="0" w:color="auto"/>
              <w:bottom w:val="single" w:sz="4" w:space="0" w:color="000000"/>
              <w:right w:val="single" w:sz="4" w:space="0" w:color="auto"/>
            </w:tcBorders>
            <w:vAlign w:val="center"/>
            <w:hideMark/>
          </w:tcPr>
          <w:p w14:paraId="758A8936"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EBED746"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SBFD UL</w:t>
            </w:r>
          </w:p>
        </w:tc>
        <w:tc>
          <w:tcPr>
            <w:tcW w:w="1049" w:type="dxa"/>
            <w:tcBorders>
              <w:top w:val="nil"/>
              <w:left w:val="nil"/>
              <w:bottom w:val="single" w:sz="4" w:space="0" w:color="auto"/>
              <w:right w:val="single" w:sz="4" w:space="0" w:color="auto"/>
            </w:tcBorders>
            <w:shd w:val="clear" w:color="auto" w:fill="auto"/>
            <w:vAlign w:val="center"/>
            <w:hideMark/>
          </w:tcPr>
          <w:p w14:paraId="5A557F9B"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Option 1 (same size)</w:t>
            </w:r>
          </w:p>
        </w:tc>
        <w:tc>
          <w:tcPr>
            <w:tcW w:w="802" w:type="dxa"/>
            <w:tcBorders>
              <w:top w:val="nil"/>
              <w:left w:val="single" w:sz="4" w:space="0" w:color="auto"/>
              <w:bottom w:val="single" w:sz="4" w:space="0" w:color="auto"/>
              <w:right w:val="single" w:sz="4" w:space="0" w:color="auto"/>
            </w:tcBorders>
            <w:vAlign w:val="center"/>
            <w:hideMark/>
          </w:tcPr>
          <w:p w14:paraId="1D0D3BB8"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1" w:type="dxa"/>
            <w:tcBorders>
              <w:top w:val="nil"/>
              <w:left w:val="single" w:sz="4" w:space="0" w:color="auto"/>
              <w:bottom w:val="single" w:sz="4" w:space="0" w:color="auto"/>
              <w:right w:val="single" w:sz="4" w:space="0" w:color="auto"/>
            </w:tcBorders>
            <w:vAlign w:val="center"/>
            <w:hideMark/>
          </w:tcPr>
          <w:p w14:paraId="1FB8D697"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1" w:type="dxa"/>
            <w:tcBorders>
              <w:top w:val="nil"/>
              <w:left w:val="single" w:sz="4" w:space="0" w:color="auto"/>
              <w:bottom w:val="single" w:sz="4" w:space="0" w:color="auto"/>
              <w:right w:val="single" w:sz="4" w:space="0" w:color="auto"/>
            </w:tcBorders>
            <w:vAlign w:val="center"/>
            <w:hideMark/>
          </w:tcPr>
          <w:p w14:paraId="110D230B"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12" w:type="dxa"/>
            <w:tcBorders>
              <w:top w:val="nil"/>
              <w:left w:val="nil"/>
              <w:bottom w:val="single" w:sz="4" w:space="0" w:color="auto"/>
              <w:right w:val="single" w:sz="4" w:space="0" w:color="auto"/>
            </w:tcBorders>
            <w:shd w:val="clear" w:color="auto" w:fill="auto"/>
            <w:noWrap/>
            <w:vAlign w:val="center"/>
            <w:hideMark/>
          </w:tcPr>
          <w:p w14:paraId="40061BB6"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Receiver blocked</w:t>
            </w:r>
          </w:p>
        </w:tc>
        <w:tc>
          <w:tcPr>
            <w:tcW w:w="777" w:type="dxa"/>
            <w:tcBorders>
              <w:top w:val="nil"/>
              <w:left w:val="nil"/>
              <w:bottom w:val="single" w:sz="4" w:space="0" w:color="auto"/>
              <w:right w:val="single" w:sz="4" w:space="0" w:color="auto"/>
            </w:tcBorders>
            <w:shd w:val="clear" w:color="auto" w:fill="auto"/>
            <w:noWrap/>
            <w:vAlign w:val="center"/>
            <w:hideMark/>
          </w:tcPr>
          <w:p w14:paraId="4561F03B"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2.75</w:t>
            </w:r>
          </w:p>
        </w:tc>
        <w:tc>
          <w:tcPr>
            <w:tcW w:w="79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949DC7A"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D27980">
              <w:rPr>
                <w:rFonts w:ascii="Times New Roman" w:eastAsia="Times New Roman" w:hAnsi="Times New Roman" w:cs="Times New Roman"/>
                <w:color w:val="9C0006"/>
                <w:sz w:val="16"/>
                <w:szCs w:val="16"/>
                <w:lang w:val="en-US"/>
              </w:rPr>
              <w:t>NaN</w:t>
            </w:r>
          </w:p>
        </w:tc>
        <w:tc>
          <w:tcPr>
            <w:tcW w:w="793" w:type="dxa"/>
            <w:gridSpan w:val="2"/>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19C1462"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D27980">
              <w:rPr>
                <w:rFonts w:ascii="Times New Roman" w:eastAsia="Times New Roman" w:hAnsi="Times New Roman" w:cs="Times New Roman"/>
                <w:color w:val="9C0006"/>
                <w:sz w:val="16"/>
                <w:szCs w:val="16"/>
                <w:lang w:val="en-US"/>
              </w:rPr>
              <w:t>17.92</w:t>
            </w:r>
          </w:p>
        </w:tc>
      </w:tr>
      <w:tr w:rsidR="00A94381" w:rsidRPr="00D27980" w14:paraId="60B56B2A" w14:textId="77777777" w:rsidTr="00FD100E">
        <w:trPr>
          <w:trHeight w:val="442"/>
        </w:trPr>
        <w:tc>
          <w:tcPr>
            <w:tcW w:w="789" w:type="dxa"/>
            <w:tcBorders>
              <w:top w:val="nil"/>
              <w:left w:val="single" w:sz="4" w:space="0" w:color="auto"/>
              <w:bottom w:val="single" w:sz="4" w:space="0" w:color="auto"/>
              <w:right w:val="single" w:sz="4" w:space="0" w:color="auto"/>
            </w:tcBorders>
            <w:shd w:val="clear" w:color="auto" w:fill="auto"/>
            <w:vAlign w:val="center"/>
            <w:hideMark/>
          </w:tcPr>
          <w:p w14:paraId="72D296B1"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10%</w:t>
            </w:r>
          </w:p>
        </w:tc>
        <w:tc>
          <w:tcPr>
            <w:tcW w:w="841" w:type="dxa"/>
            <w:tcBorders>
              <w:top w:val="nil"/>
              <w:left w:val="single" w:sz="4" w:space="0" w:color="auto"/>
              <w:bottom w:val="single" w:sz="4" w:space="0" w:color="000000"/>
              <w:right w:val="single" w:sz="4" w:space="0" w:color="auto"/>
            </w:tcBorders>
            <w:vAlign w:val="center"/>
            <w:hideMark/>
          </w:tcPr>
          <w:p w14:paraId="13EBFD03"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2" w:type="dxa"/>
            <w:vMerge/>
            <w:tcBorders>
              <w:top w:val="nil"/>
              <w:left w:val="single" w:sz="4" w:space="0" w:color="auto"/>
              <w:bottom w:val="single" w:sz="4" w:space="0" w:color="auto"/>
              <w:right w:val="single" w:sz="4" w:space="0" w:color="auto"/>
            </w:tcBorders>
            <w:vAlign w:val="center"/>
            <w:hideMark/>
          </w:tcPr>
          <w:p w14:paraId="5F56278B"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49" w:type="dxa"/>
            <w:tcBorders>
              <w:top w:val="nil"/>
              <w:left w:val="nil"/>
              <w:bottom w:val="single" w:sz="4" w:space="0" w:color="auto"/>
              <w:right w:val="single" w:sz="4" w:space="0" w:color="auto"/>
            </w:tcBorders>
            <w:shd w:val="clear" w:color="auto" w:fill="auto"/>
            <w:vAlign w:val="center"/>
            <w:hideMark/>
          </w:tcPr>
          <w:p w14:paraId="0737D5F8"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Option 1 (same size)</w:t>
            </w:r>
          </w:p>
        </w:tc>
        <w:tc>
          <w:tcPr>
            <w:tcW w:w="802" w:type="dxa"/>
            <w:tcBorders>
              <w:top w:val="nil"/>
              <w:left w:val="single" w:sz="4" w:space="0" w:color="auto"/>
              <w:bottom w:val="single" w:sz="4" w:space="0" w:color="auto"/>
              <w:right w:val="single" w:sz="4" w:space="0" w:color="auto"/>
            </w:tcBorders>
            <w:vAlign w:val="center"/>
            <w:hideMark/>
          </w:tcPr>
          <w:p w14:paraId="04182FBD"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1" w:type="dxa"/>
            <w:tcBorders>
              <w:top w:val="nil"/>
              <w:left w:val="single" w:sz="4" w:space="0" w:color="auto"/>
              <w:bottom w:val="single" w:sz="4" w:space="0" w:color="auto"/>
              <w:right w:val="single" w:sz="4" w:space="0" w:color="auto"/>
            </w:tcBorders>
            <w:vAlign w:val="center"/>
            <w:hideMark/>
          </w:tcPr>
          <w:p w14:paraId="2EEC1252"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1" w:type="dxa"/>
            <w:tcBorders>
              <w:top w:val="nil"/>
              <w:left w:val="single" w:sz="4" w:space="0" w:color="auto"/>
              <w:bottom w:val="single" w:sz="4" w:space="0" w:color="auto"/>
              <w:right w:val="single" w:sz="4" w:space="0" w:color="auto"/>
            </w:tcBorders>
            <w:vAlign w:val="center"/>
            <w:hideMark/>
          </w:tcPr>
          <w:p w14:paraId="31879128"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12" w:type="dxa"/>
            <w:tcBorders>
              <w:top w:val="nil"/>
              <w:left w:val="nil"/>
              <w:bottom w:val="single" w:sz="4" w:space="0" w:color="auto"/>
              <w:right w:val="single" w:sz="4" w:space="0" w:color="auto"/>
            </w:tcBorders>
            <w:shd w:val="clear" w:color="auto" w:fill="auto"/>
            <w:noWrap/>
            <w:vAlign w:val="center"/>
            <w:hideMark/>
          </w:tcPr>
          <w:p w14:paraId="38D87C4E"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Receiver blocked</w:t>
            </w:r>
          </w:p>
        </w:tc>
        <w:tc>
          <w:tcPr>
            <w:tcW w:w="777" w:type="dxa"/>
            <w:tcBorders>
              <w:top w:val="nil"/>
              <w:left w:val="nil"/>
              <w:bottom w:val="single" w:sz="4" w:space="0" w:color="auto"/>
              <w:right w:val="single" w:sz="4" w:space="0" w:color="auto"/>
            </w:tcBorders>
            <w:shd w:val="clear" w:color="auto" w:fill="auto"/>
            <w:noWrap/>
            <w:vAlign w:val="center"/>
            <w:hideMark/>
          </w:tcPr>
          <w:p w14:paraId="64258ED5"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5.89</w:t>
            </w:r>
          </w:p>
        </w:tc>
        <w:tc>
          <w:tcPr>
            <w:tcW w:w="79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FE55AB2"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D27980">
              <w:rPr>
                <w:rFonts w:ascii="Times New Roman" w:eastAsia="Times New Roman" w:hAnsi="Times New Roman" w:cs="Times New Roman"/>
                <w:color w:val="9C0006"/>
                <w:sz w:val="16"/>
                <w:szCs w:val="16"/>
                <w:lang w:val="en-US"/>
              </w:rPr>
              <w:t>NaN</w:t>
            </w:r>
          </w:p>
        </w:tc>
        <w:tc>
          <w:tcPr>
            <w:tcW w:w="793" w:type="dxa"/>
            <w:gridSpan w:val="2"/>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CD525EB"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D27980">
              <w:rPr>
                <w:rFonts w:ascii="Times New Roman" w:eastAsia="Times New Roman" w:hAnsi="Times New Roman" w:cs="Times New Roman"/>
                <w:color w:val="9C0006"/>
                <w:sz w:val="16"/>
                <w:szCs w:val="16"/>
                <w:lang w:val="en-US"/>
              </w:rPr>
              <w:t>37.26</w:t>
            </w:r>
          </w:p>
        </w:tc>
      </w:tr>
      <w:tr w:rsidR="00B65919" w:rsidRPr="00D27980" w14:paraId="693CA473" w14:textId="77777777" w:rsidTr="00FD100E">
        <w:trPr>
          <w:gridAfter w:val="1"/>
          <w:wAfter w:w="9" w:type="dxa"/>
          <w:trHeight w:val="442"/>
        </w:trPr>
        <w:tc>
          <w:tcPr>
            <w:tcW w:w="789" w:type="dxa"/>
            <w:tcBorders>
              <w:top w:val="nil"/>
              <w:left w:val="single" w:sz="4" w:space="0" w:color="auto"/>
              <w:bottom w:val="single" w:sz="4" w:space="0" w:color="auto"/>
              <w:right w:val="single" w:sz="4" w:space="0" w:color="auto"/>
            </w:tcBorders>
            <w:shd w:val="clear" w:color="auto" w:fill="auto"/>
            <w:vAlign w:val="center"/>
            <w:hideMark/>
          </w:tcPr>
          <w:p w14:paraId="76E72B92"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100%</w:t>
            </w:r>
          </w:p>
        </w:tc>
        <w:tc>
          <w:tcPr>
            <w:tcW w:w="841" w:type="dxa"/>
            <w:tcBorders>
              <w:top w:val="nil"/>
              <w:left w:val="single" w:sz="4" w:space="0" w:color="auto"/>
              <w:bottom w:val="single" w:sz="4" w:space="0" w:color="000000"/>
              <w:right w:val="single" w:sz="4" w:space="0" w:color="auto"/>
            </w:tcBorders>
            <w:vAlign w:val="center"/>
            <w:hideMark/>
          </w:tcPr>
          <w:p w14:paraId="1D7F8749"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075D01D"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SBFD DL</w:t>
            </w:r>
          </w:p>
        </w:tc>
        <w:tc>
          <w:tcPr>
            <w:tcW w:w="1049" w:type="dxa"/>
            <w:tcBorders>
              <w:top w:val="nil"/>
              <w:left w:val="nil"/>
              <w:bottom w:val="single" w:sz="4" w:space="0" w:color="auto"/>
              <w:right w:val="single" w:sz="4" w:space="0" w:color="auto"/>
            </w:tcBorders>
            <w:shd w:val="clear" w:color="auto" w:fill="auto"/>
            <w:vAlign w:val="center"/>
            <w:hideMark/>
          </w:tcPr>
          <w:p w14:paraId="02BDC527"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Option 2 (same gain)</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54109C3"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Option 2:</w:t>
            </w:r>
            <w:r w:rsidRPr="00D27980">
              <w:rPr>
                <w:rFonts w:ascii="Times New Roman" w:eastAsia="Times New Roman" w:hAnsi="Times New Roman" w:cs="Times New Roman"/>
                <w:sz w:val="16"/>
                <w:szCs w:val="16"/>
                <w:lang w:val="en-US"/>
              </w:rPr>
              <w:br/>
              <w:t>SBFD: 53 dBm</w:t>
            </w:r>
          </w:p>
        </w:tc>
        <w:tc>
          <w:tcPr>
            <w:tcW w:w="801" w:type="dxa"/>
            <w:tcBorders>
              <w:top w:val="nil"/>
              <w:left w:val="single" w:sz="4" w:space="0" w:color="auto"/>
              <w:bottom w:val="single" w:sz="4" w:space="0" w:color="auto"/>
              <w:right w:val="single" w:sz="4" w:space="0" w:color="auto"/>
            </w:tcBorders>
            <w:vAlign w:val="center"/>
            <w:hideMark/>
          </w:tcPr>
          <w:p w14:paraId="6B205834"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1" w:type="dxa"/>
            <w:tcBorders>
              <w:top w:val="nil"/>
              <w:left w:val="single" w:sz="4" w:space="0" w:color="auto"/>
              <w:bottom w:val="single" w:sz="4" w:space="0" w:color="auto"/>
              <w:right w:val="single" w:sz="4" w:space="0" w:color="auto"/>
            </w:tcBorders>
            <w:vAlign w:val="center"/>
            <w:hideMark/>
          </w:tcPr>
          <w:p w14:paraId="52E4B5FB"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12" w:type="dxa"/>
            <w:tcBorders>
              <w:top w:val="nil"/>
              <w:left w:val="nil"/>
              <w:bottom w:val="single" w:sz="4" w:space="0" w:color="auto"/>
              <w:right w:val="single" w:sz="4" w:space="0" w:color="auto"/>
            </w:tcBorders>
            <w:shd w:val="clear" w:color="auto" w:fill="auto"/>
            <w:noWrap/>
            <w:vAlign w:val="center"/>
            <w:hideMark/>
          </w:tcPr>
          <w:p w14:paraId="2B263806"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0.1</w:t>
            </w:r>
          </w:p>
        </w:tc>
        <w:tc>
          <w:tcPr>
            <w:tcW w:w="777" w:type="dxa"/>
            <w:tcBorders>
              <w:top w:val="nil"/>
              <w:left w:val="nil"/>
              <w:bottom w:val="single" w:sz="4" w:space="0" w:color="auto"/>
              <w:right w:val="single" w:sz="4" w:space="0" w:color="auto"/>
            </w:tcBorders>
            <w:shd w:val="clear" w:color="auto" w:fill="auto"/>
            <w:noWrap/>
            <w:vAlign w:val="center"/>
            <w:hideMark/>
          </w:tcPr>
          <w:p w14:paraId="74400FD9"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0.23</w:t>
            </w:r>
          </w:p>
        </w:tc>
        <w:tc>
          <w:tcPr>
            <w:tcW w:w="793" w:type="dxa"/>
            <w:tcBorders>
              <w:top w:val="nil"/>
              <w:left w:val="nil"/>
              <w:bottom w:val="single" w:sz="4" w:space="0" w:color="auto"/>
              <w:right w:val="single" w:sz="4" w:space="0" w:color="auto"/>
            </w:tcBorders>
            <w:shd w:val="clear" w:color="auto" w:fill="auto"/>
            <w:noWrap/>
            <w:vAlign w:val="center"/>
            <w:hideMark/>
          </w:tcPr>
          <w:p w14:paraId="58ACF795"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1.03</w:t>
            </w:r>
          </w:p>
        </w:tc>
        <w:tc>
          <w:tcPr>
            <w:tcW w:w="793" w:type="dxa"/>
            <w:tcBorders>
              <w:top w:val="nil"/>
              <w:left w:val="nil"/>
              <w:bottom w:val="single" w:sz="4" w:space="0" w:color="auto"/>
              <w:right w:val="single" w:sz="4" w:space="0" w:color="auto"/>
            </w:tcBorders>
            <w:shd w:val="clear" w:color="auto" w:fill="auto"/>
            <w:noWrap/>
            <w:vAlign w:val="center"/>
            <w:hideMark/>
          </w:tcPr>
          <w:p w14:paraId="7EA303CA"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0.36</w:t>
            </w:r>
          </w:p>
        </w:tc>
      </w:tr>
      <w:tr w:rsidR="00B65919" w:rsidRPr="00D27980" w14:paraId="2FF5B009" w14:textId="77777777" w:rsidTr="00FD100E">
        <w:trPr>
          <w:gridAfter w:val="1"/>
          <w:wAfter w:w="9" w:type="dxa"/>
          <w:trHeight w:val="442"/>
        </w:trPr>
        <w:tc>
          <w:tcPr>
            <w:tcW w:w="789" w:type="dxa"/>
            <w:tcBorders>
              <w:top w:val="nil"/>
              <w:left w:val="single" w:sz="4" w:space="0" w:color="auto"/>
              <w:bottom w:val="single" w:sz="4" w:space="0" w:color="auto"/>
              <w:right w:val="single" w:sz="4" w:space="0" w:color="auto"/>
            </w:tcBorders>
            <w:shd w:val="clear" w:color="auto" w:fill="auto"/>
            <w:vAlign w:val="center"/>
            <w:hideMark/>
          </w:tcPr>
          <w:p w14:paraId="567DB109"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10%</w:t>
            </w:r>
          </w:p>
        </w:tc>
        <w:tc>
          <w:tcPr>
            <w:tcW w:w="841" w:type="dxa"/>
            <w:tcBorders>
              <w:top w:val="nil"/>
              <w:left w:val="single" w:sz="4" w:space="0" w:color="auto"/>
              <w:bottom w:val="single" w:sz="4" w:space="0" w:color="000000"/>
              <w:right w:val="single" w:sz="4" w:space="0" w:color="auto"/>
            </w:tcBorders>
            <w:vAlign w:val="center"/>
            <w:hideMark/>
          </w:tcPr>
          <w:p w14:paraId="2EFD7745"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2" w:type="dxa"/>
            <w:vMerge/>
            <w:tcBorders>
              <w:top w:val="nil"/>
              <w:left w:val="single" w:sz="4" w:space="0" w:color="auto"/>
              <w:bottom w:val="single" w:sz="4" w:space="0" w:color="auto"/>
              <w:right w:val="single" w:sz="4" w:space="0" w:color="auto"/>
            </w:tcBorders>
            <w:vAlign w:val="center"/>
            <w:hideMark/>
          </w:tcPr>
          <w:p w14:paraId="4CD5531B"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49" w:type="dxa"/>
            <w:tcBorders>
              <w:top w:val="nil"/>
              <w:left w:val="nil"/>
              <w:bottom w:val="single" w:sz="4" w:space="0" w:color="auto"/>
              <w:right w:val="single" w:sz="4" w:space="0" w:color="auto"/>
            </w:tcBorders>
            <w:shd w:val="clear" w:color="auto" w:fill="auto"/>
            <w:vAlign w:val="center"/>
            <w:hideMark/>
          </w:tcPr>
          <w:p w14:paraId="2EE1FFC3"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Option 2 (same gain)</w:t>
            </w:r>
          </w:p>
        </w:tc>
        <w:tc>
          <w:tcPr>
            <w:tcW w:w="802" w:type="dxa"/>
            <w:vMerge/>
            <w:tcBorders>
              <w:top w:val="nil"/>
              <w:left w:val="single" w:sz="4" w:space="0" w:color="auto"/>
              <w:bottom w:val="single" w:sz="4" w:space="0" w:color="auto"/>
              <w:right w:val="single" w:sz="4" w:space="0" w:color="auto"/>
            </w:tcBorders>
            <w:vAlign w:val="center"/>
            <w:hideMark/>
          </w:tcPr>
          <w:p w14:paraId="2F1DA439"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1" w:type="dxa"/>
            <w:tcBorders>
              <w:top w:val="nil"/>
              <w:left w:val="single" w:sz="4" w:space="0" w:color="auto"/>
              <w:bottom w:val="single" w:sz="4" w:space="0" w:color="auto"/>
              <w:right w:val="single" w:sz="4" w:space="0" w:color="auto"/>
            </w:tcBorders>
            <w:vAlign w:val="center"/>
            <w:hideMark/>
          </w:tcPr>
          <w:p w14:paraId="1F31E405"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1" w:type="dxa"/>
            <w:tcBorders>
              <w:top w:val="nil"/>
              <w:left w:val="single" w:sz="4" w:space="0" w:color="auto"/>
              <w:bottom w:val="single" w:sz="4" w:space="0" w:color="auto"/>
              <w:right w:val="single" w:sz="4" w:space="0" w:color="auto"/>
            </w:tcBorders>
            <w:vAlign w:val="center"/>
            <w:hideMark/>
          </w:tcPr>
          <w:p w14:paraId="580547F7"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12" w:type="dxa"/>
            <w:tcBorders>
              <w:top w:val="nil"/>
              <w:left w:val="nil"/>
              <w:bottom w:val="single" w:sz="4" w:space="0" w:color="auto"/>
              <w:right w:val="single" w:sz="4" w:space="0" w:color="auto"/>
            </w:tcBorders>
            <w:shd w:val="clear" w:color="auto" w:fill="auto"/>
            <w:noWrap/>
            <w:vAlign w:val="center"/>
            <w:hideMark/>
          </w:tcPr>
          <w:p w14:paraId="5DA6B8C1"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w:t>
            </w:r>
          </w:p>
        </w:tc>
        <w:tc>
          <w:tcPr>
            <w:tcW w:w="777" w:type="dxa"/>
            <w:tcBorders>
              <w:top w:val="nil"/>
              <w:left w:val="nil"/>
              <w:bottom w:val="single" w:sz="4" w:space="0" w:color="auto"/>
              <w:right w:val="single" w:sz="4" w:space="0" w:color="auto"/>
            </w:tcBorders>
            <w:shd w:val="clear" w:color="auto" w:fill="auto"/>
            <w:noWrap/>
            <w:vAlign w:val="center"/>
            <w:hideMark/>
          </w:tcPr>
          <w:p w14:paraId="600A9EC6"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0.08</w:t>
            </w:r>
          </w:p>
        </w:tc>
        <w:tc>
          <w:tcPr>
            <w:tcW w:w="793" w:type="dxa"/>
            <w:tcBorders>
              <w:top w:val="nil"/>
              <w:left w:val="nil"/>
              <w:bottom w:val="single" w:sz="4" w:space="0" w:color="auto"/>
              <w:right w:val="single" w:sz="4" w:space="0" w:color="auto"/>
            </w:tcBorders>
            <w:shd w:val="clear" w:color="auto" w:fill="auto"/>
            <w:noWrap/>
            <w:vAlign w:val="center"/>
            <w:hideMark/>
          </w:tcPr>
          <w:p w14:paraId="127A09E5"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w:t>
            </w:r>
          </w:p>
        </w:tc>
        <w:tc>
          <w:tcPr>
            <w:tcW w:w="793" w:type="dxa"/>
            <w:tcBorders>
              <w:top w:val="nil"/>
              <w:left w:val="nil"/>
              <w:bottom w:val="single" w:sz="4" w:space="0" w:color="auto"/>
              <w:right w:val="single" w:sz="4" w:space="0" w:color="auto"/>
            </w:tcBorders>
            <w:shd w:val="clear" w:color="auto" w:fill="auto"/>
            <w:noWrap/>
            <w:vAlign w:val="center"/>
            <w:hideMark/>
          </w:tcPr>
          <w:p w14:paraId="6EDA423F"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0.58</w:t>
            </w:r>
          </w:p>
        </w:tc>
      </w:tr>
      <w:tr w:rsidR="00A94381" w:rsidRPr="00D27980" w14:paraId="7D60D133" w14:textId="77777777" w:rsidTr="00FD100E">
        <w:trPr>
          <w:trHeight w:val="442"/>
        </w:trPr>
        <w:tc>
          <w:tcPr>
            <w:tcW w:w="789" w:type="dxa"/>
            <w:tcBorders>
              <w:top w:val="nil"/>
              <w:left w:val="single" w:sz="4" w:space="0" w:color="auto"/>
              <w:bottom w:val="single" w:sz="4" w:space="0" w:color="auto"/>
              <w:right w:val="single" w:sz="4" w:space="0" w:color="auto"/>
            </w:tcBorders>
            <w:shd w:val="clear" w:color="auto" w:fill="auto"/>
            <w:vAlign w:val="center"/>
            <w:hideMark/>
          </w:tcPr>
          <w:p w14:paraId="7F6F1FBC"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100%</w:t>
            </w:r>
          </w:p>
        </w:tc>
        <w:tc>
          <w:tcPr>
            <w:tcW w:w="841" w:type="dxa"/>
            <w:tcBorders>
              <w:top w:val="nil"/>
              <w:left w:val="single" w:sz="4" w:space="0" w:color="auto"/>
              <w:bottom w:val="single" w:sz="4" w:space="0" w:color="000000"/>
              <w:right w:val="single" w:sz="4" w:space="0" w:color="auto"/>
            </w:tcBorders>
            <w:vAlign w:val="center"/>
            <w:hideMark/>
          </w:tcPr>
          <w:p w14:paraId="652160A9"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C862CDA"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SBFD UL</w:t>
            </w:r>
          </w:p>
        </w:tc>
        <w:tc>
          <w:tcPr>
            <w:tcW w:w="1049" w:type="dxa"/>
            <w:tcBorders>
              <w:top w:val="nil"/>
              <w:left w:val="nil"/>
              <w:bottom w:val="single" w:sz="4" w:space="0" w:color="auto"/>
              <w:right w:val="single" w:sz="4" w:space="0" w:color="auto"/>
            </w:tcBorders>
            <w:shd w:val="clear" w:color="auto" w:fill="auto"/>
            <w:vAlign w:val="center"/>
            <w:hideMark/>
          </w:tcPr>
          <w:p w14:paraId="527391E4"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Option 2 (same gain)</w:t>
            </w:r>
          </w:p>
        </w:tc>
        <w:tc>
          <w:tcPr>
            <w:tcW w:w="802" w:type="dxa"/>
            <w:tcBorders>
              <w:top w:val="nil"/>
              <w:left w:val="single" w:sz="4" w:space="0" w:color="auto"/>
              <w:bottom w:val="single" w:sz="4" w:space="0" w:color="auto"/>
              <w:right w:val="single" w:sz="4" w:space="0" w:color="auto"/>
            </w:tcBorders>
            <w:vAlign w:val="center"/>
            <w:hideMark/>
          </w:tcPr>
          <w:p w14:paraId="36B0CAD8"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1" w:type="dxa"/>
            <w:tcBorders>
              <w:top w:val="nil"/>
              <w:left w:val="single" w:sz="4" w:space="0" w:color="auto"/>
              <w:bottom w:val="single" w:sz="4" w:space="0" w:color="auto"/>
              <w:right w:val="single" w:sz="4" w:space="0" w:color="auto"/>
            </w:tcBorders>
            <w:vAlign w:val="center"/>
            <w:hideMark/>
          </w:tcPr>
          <w:p w14:paraId="37629357"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1" w:type="dxa"/>
            <w:tcBorders>
              <w:top w:val="nil"/>
              <w:left w:val="single" w:sz="4" w:space="0" w:color="auto"/>
              <w:bottom w:val="single" w:sz="4" w:space="0" w:color="auto"/>
              <w:right w:val="single" w:sz="4" w:space="0" w:color="auto"/>
            </w:tcBorders>
            <w:vAlign w:val="center"/>
            <w:hideMark/>
          </w:tcPr>
          <w:p w14:paraId="5BBB4666"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12" w:type="dxa"/>
            <w:tcBorders>
              <w:top w:val="nil"/>
              <w:left w:val="nil"/>
              <w:bottom w:val="single" w:sz="4" w:space="0" w:color="auto"/>
              <w:right w:val="single" w:sz="4" w:space="0" w:color="auto"/>
            </w:tcBorders>
            <w:shd w:val="clear" w:color="auto" w:fill="auto"/>
            <w:noWrap/>
            <w:vAlign w:val="center"/>
            <w:hideMark/>
          </w:tcPr>
          <w:p w14:paraId="3A889012"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Receiver blocked</w:t>
            </w:r>
          </w:p>
        </w:tc>
        <w:tc>
          <w:tcPr>
            <w:tcW w:w="777" w:type="dxa"/>
            <w:tcBorders>
              <w:top w:val="nil"/>
              <w:left w:val="nil"/>
              <w:bottom w:val="single" w:sz="4" w:space="0" w:color="auto"/>
              <w:right w:val="single" w:sz="4" w:space="0" w:color="auto"/>
            </w:tcBorders>
            <w:shd w:val="clear" w:color="auto" w:fill="auto"/>
            <w:noWrap/>
            <w:vAlign w:val="center"/>
            <w:hideMark/>
          </w:tcPr>
          <w:p w14:paraId="240BD44A"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2.79</w:t>
            </w:r>
          </w:p>
        </w:tc>
        <w:tc>
          <w:tcPr>
            <w:tcW w:w="79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4DBD4E0"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D27980">
              <w:rPr>
                <w:rFonts w:ascii="Times New Roman" w:eastAsia="Times New Roman" w:hAnsi="Times New Roman" w:cs="Times New Roman"/>
                <w:color w:val="9C0006"/>
                <w:sz w:val="16"/>
                <w:szCs w:val="16"/>
                <w:lang w:val="en-US"/>
              </w:rPr>
              <w:t>NaN</w:t>
            </w:r>
          </w:p>
        </w:tc>
        <w:tc>
          <w:tcPr>
            <w:tcW w:w="793" w:type="dxa"/>
            <w:gridSpan w:val="2"/>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08285D8"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D27980">
              <w:rPr>
                <w:rFonts w:ascii="Times New Roman" w:eastAsia="Times New Roman" w:hAnsi="Times New Roman" w:cs="Times New Roman"/>
                <w:color w:val="9C0006"/>
                <w:sz w:val="16"/>
                <w:szCs w:val="16"/>
                <w:lang w:val="en-US"/>
              </w:rPr>
              <w:t>16.79</w:t>
            </w:r>
          </w:p>
        </w:tc>
      </w:tr>
      <w:tr w:rsidR="00A94381" w:rsidRPr="00D27980" w14:paraId="5267D6DA" w14:textId="77777777" w:rsidTr="00FD100E">
        <w:trPr>
          <w:trHeight w:val="442"/>
        </w:trPr>
        <w:tc>
          <w:tcPr>
            <w:tcW w:w="789" w:type="dxa"/>
            <w:tcBorders>
              <w:top w:val="nil"/>
              <w:left w:val="single" w:sz="4" w:space="0" w:color="auto"/>
              <w:bottom w:val="single" w:sz="4" w:space="0" w:color="auto"/>
              <w:right w:val="single" w:sz="4" w:space="0" w:color="auto"/>
            </w:tcBorders>
            <w:shd w:val="clear" w:color="auto" w:fill="auto"/>
            <w:vAlign w:val="center"/>
            <w:hideMark/>
          </w:tcPr>
          <w:p w14:paraId="403E66CD"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10%</w:t>
            </w:r>
          </w:p>
        </w:tc>
        <w:tc>
          <w:tcPr>
            <w:tcW w:w="841" w:type="dxa"/>
            <w:tcBorders>
              <w:top w:val="nil"/>
              <w:left w:val="single" w:sz="4" w:space="0" w:color="auto"/>
              <w:bottom w:val="single" w:sz="4" w:space="0" w:color="000000"/>
              <w:right w:val="single" w:sz="4" w:space="0" w:color="auto"/>
            </w:tcBorders>
            <w:vAlign w:val="center"/>
            <w:hideMark/>
          </w:tcPr>
          <w:p w14:paraId="34FA9D3E"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2" w:type="dxa"/>
            <w:vMerge/>
            <w:tcBorders>
              <w:top w:val="nil"/>
              <w:left w:val="single" w:sz="4" w:space="0" w:color="auto"/>
              <w:bottom w:val="single" w:sz="4" w:space="0" w:color="auto"/>
              <w:right w:val="single" w:sz="4" w:space="0" w:color="auto"/>
            </w:tcBorders>
            <w:vAlign w:val="center"/>
            <w:hideMark/>
          </w:tcPr>
          <w:p w14:paraId="0D6F140A"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49" w:type="dxa"/>
            <w:tcBorders>
              <w:top w:val="nil"/>
              <w:left w:val="nil"/>
              <w:bottom w:val="single" w:sz="4" w:space="0" w:color="auto"/>
              <w:right w:val="single" w:sz="4" w:space="0" w:color="auto"/>
            </w:tcBorders>
            <w:shd w:val="clear" w:color="auto" w:fill="auto"/>
            <w:vAlign w:val="center"/>
            <w:hideMark/>
          </w:tcPr>
          <w:p w14:paraId="7960862A" w14:textId="77777777" w:rsidR="00D27980" w:rsidRPr="00D27980" w:rsidRDefault="00D27980" w:rsidP="00D27980">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D27980">
              <w:rPr>
                <w:rFonts w:ascii="Times New Roman" w:eastAsia="Times New Roman" w:hAnsi="Times New Roman" w:cs="Times New Roman"/>
                <w:sz w:val="16"/>
                <w:szCs w:val="16"/>
                <w:lang w:val="en-US"/>
              </w:rPr>
              <w:t>Option 2 (same gain)</w:t>
            </w:r>
          </w:p>
        </w:tc>
        <w:tc>
          <w:tcPr>
            <w:tcW w:w="802" w:type="dxa"/>
            <w:tcBorders>
              <w:top w:val="nil"/>
              <w:left w:val="single" w:sz="4" w:space="0" w:color="auto"/>
              <w:bottom w:val="single" w:sz="4" w:space="0" w:color="auto"/>
              <w:right w:val="single" w:sz="4" w:space="0" w:color="auto"/>
            </w:tcBorders>
            <w:vAlign w:val="center"/>
            <w:hideMark/>
          </w:tcPr>
          <w:p w14:paraId="070804DA"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1" w:type="dxa"/>
            <w:tcBorders>
              <w:top w:val="nil"/>
              <w:left w:val="single" w:sz="4" w:space="0" w:color="auto"/>
              <w:bottom w:val="single" w:sz="4" w:space="0" w:color="auto"/>
              <w:right w:val="single" w:sz="4" w:space="0" w:color="auto"/>
            </w:tcBorders>
            <w:vAlign w:val="center"/>
            <w:hideMark/>
          </w:tcPr>
          <w:p w14:paraId="59AEE1F5"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1" w:type="dxa"/>
            <w:tcBorders>
              <w:top w:val="nil"/>
              <w:left w:val="single" w:sz="4" w:space="0" w:color="auto"/>
              <w:bottom w:val="single" w:sz="4" w:space="0" w:color="auto"/>
              <w:right w:val="single" w:sz="4" w:space="0" w:color="auto"/>
            </w:tcBorders>
            <w:vAlign w:val="center"/>
            <w:hideMark/>
          </w:tcPr>
          <w:p w14:paraId="251F47C7" w14:textId="77777777" w:rsidR="00D27980" w:rsidRPr="00D27980" w:rsidRDefault="00D27980" w:rsidP="00D27980">
            <w:pPr>
              <w:overflowPunct/>
              <w:autoSpaceDE/>
              <w:autoSpaceDN/>
              <w:adjustRightInd/>
              <w:spacing w:after="0"/>
              <w:textAlignment w:val="auto"/>
              <w:rPr>
                <w:rFonts w:ascii="Times New Roman" w:eastAsia="Times New Roman" w:hAnsi="Times New Roman" w:cs="Times New Roman"/>
                <w:sz w:val="16"/>
                <w:szCs w:val="16"/>
                <w:lang w:val="en-US"/>
              </w:rPr>
            </w:pPr>
          </w:p>
        </w:tc>
        <w:tc>
          <w:tcPr>
            <w:tcW w:w="1012" w:type="dxa"/>
            <w:tcBorders>
              <w:top w:val="nil"/>
              <w:left w:val="nil"/>
              <w:bottom w:val="single" w:sz="4" w:space="0" w:color="auto"/>
              <w:right w:val="single" w:sz="4" w:space="0" w:color="auto"/>
            </w:tcBorders>
            <w:shd w:val="clear" w:color="auto" w:fill="auto"/>
            <w:noWrap/>
            <w:vAlign w:val="center"/>
            <w:hideMark/>
          </w:tcPr>
          <w:p w14:paraId="3C11539E"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Receiver blocked</w:t>
            </w:r>
          </w:p>
        </w:tc>
        <w:tc>
          <w:tcPr>
            <w:tcW w:w="777" w:type="dxa"/>
            <w:tcBorders>
              <w:top w:val="nil"/>
              <w:left w:val="nil"/>
              <w:bottom w:val="single" w:sz="4" w:space="0" w:color="auto"/>
              <w:right w:val="single" w:sz="4" w:space="0" w:color="auto"/>
            </w:tcBorders>
            <w:shd w:val="clear" w:color="auto" w:fill="auto"/>
            <w:noWrap/>
            <w:vAlign w:val="center"/>
            <w:hideMark/>
          </w:tcPr>
          <w:p w14:paraId="7FC1A252"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D27980">
              <w:rPr>
                <w:rFonts w:ascii="Times New Roman" w:eastAsia="Times New Roman" w:hAnsi="Times New Roman" w:cs="Times New Roman"/>
                <w:color w:val="000000"/>
                <w:sz w:val="16"/>
                <w:szCs w:val="16"/>
                <w:lang w:val="en-US"/>
              </w:rPr>
              <w:t>5.85</w:t>
            </w:r>
          </w:p>
        </w:tc>
        <w:tc>
          <w:tcPr>
            <w:tcW w:w="79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27D2065"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D27980">
              <w:rPr>
                <w:rFonts w:ascii="Times New Roman" w:eastAsia="Times New Roman" w:hAnsi="Times New Roman" w:cs="Times New Roman"/>
                <w:color w:val="9C0006"/>
                <w:sz w:val="16"/>
                <w:szCs w:val="16"/>
                <w:lang w:val="en-US"/>
              </w:rPr>
              <w:t>NaN</w:t>
            </w:r>
          </w:p>
        </w:tc>
        <w:tc>
          <w:tcPr>
            <w:tcW w:w="793" w:type="dxa"/>
            <w:gridSpan w:val="2"/>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5509F3A" w14:textId="77777777" w:rsidR="00D27980" w:rsidRPr="00D27980" w:rsidRDefault="00D27980" w:rsidP="00D27980">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D27980">
              <w:rPr>
                <w:rFonts w:ascii="Times New Roman" w:eastAsia="Times New Roman" w:hAnsi="Times New Roman" w:cs="Times New Roman"/>
                <w:color w:val="9C0006"/>
                <w:sz w:val="16"/>
                <w:szCs w:val="16"/>
                <w:lang w:val="en-US"/>
              </w:rPr>
              <w:t>35.28</w:t>
            </w:r>
          </w:p>
        </w:tc>
      </w:tr>
    </w:tbl>
    <w:p w14:paraId="78C8A788" w14:textId="77777777" w:rsidR="00D27980" w:rsidRDefault="00D27980" w:rsidP="00B57EF2">
      <w:pPr>
        <w:rPr>
          <w:lang w:val="en-US"/>
        </w:rPr>
      </w:pPr>
    </w:p>
    <w:p w14:paraId="3DC61966" w14:textId="77777777" w:rsidR="0087716D" w:rsidRDefault="0087716D" w:rsidP="0087716D">
      <w:pPr>
        <w:rPr>
          <w:lang w:val="en-US"/>
        </w:rPr>
      </w:pPr>
      <w:r>
        <w:rPr>
          <w:lang w:val="en-US"/>
        </w:rPr>
        <w:t>Based on the results above, the following recommendations are proposed for this scenario and case:</w:t>
      </w:r>
    </w:p>
    <w:p w14:paraId="73C9374B" w14:textId="22BFAB25" w:rsidR="0087716D" w:rsidRPr="006B4412" w:rsidRDefault="0087716D" w:rsidP="0087716D">
      <w:pPr>
        <w:rPr>
          <w:b/>
          <w:bCs/>
        </w:rPr>
      </w:pPr>
      <w:r w:rsidRPr="009D3E26">
        <w:rPr>
          <w:b/>
          <w:bCs/>
          <w:lang w:val="en-US"/>
        </w:rPr>
        <w:t xml:space="preserve">Proposal </w:t>
      </w:r>
      <w:r w:rsidR="00BB105F">
        <w:rPr>
          <w:b/>
          <w:bCs/>
          <w:lang w:val="en-US"/>
        </w:rPr>
        <w:t>1</w:t>
      </w:r>
      <w:r w:rsidR="005C792F">
        <w:rPr>
          <w:b/>
          <w:bCs/>
          <w:lang w:val="en-US"/>
        </w:rPr>
        <w:t>2</w:t>
      </w:r>
      <w:r w:rsidRPr="009D3E26">
        <w:rPr>
          <w:b/>
          <w:bCs/>
          <w:lang w:val="en-US"/>
        </w:rPr>
        <w:t xml:space="preserve">: </w:t>
      </w:r>
      <w:r w:rsidRPr="006B4412">
        <w:rPr>
          <w:b/>
          <w:bCs/>
        </w:rPr>
        <w:t xml:space="preserve">The </w:t>
      </w:r>
      <w:r>
        <w:rPr>
          <w:b/>
          <w:bCs/>
        </w:rPr>
        <w:t xml:space="preserve">SBFD DL </w:t>
      </w:r>
      <w:r w:rsidRPr="006B4412">
        <w:rPr>
          <w:b/>
          <w:bCs/>
        </w:rPr>
        <w:t xml:space="preserve">performance degradation for </w:t>
      </w:r>
      <w:r>
        <w:rPr>
          <w:b/>
          <w:bCs/>
        </w:rPr>
        <w:t>Urban Macro</w:t>
      </w:r>
      <w:r w:rsidRPr="006B4412">
        <w:rPr>
          <w:b/>
          <w:bCs/>
        </w:rPr>
        <w:t xml:space="preserve"> Case </w:t>
      </w:r>
      <w:r>
        <w:rPr>
          <w:b/>
          <w:bCs/>
        </w:rPr>
        <w:t>3</w:t>
      </w:r>
      <w:r w:rsidRPr="006B4412">
        <w:rPr>
          <w:b/>
          <w:bCs/>
        </w:rPr>
        <w:t xml:space="preserve"> is acceptable when </w:t>
      </w:r>
      <w:r>
        <w:rPr>
          <w:b/>
          <w:bCs/>
        </w:rPr>
        <w:t>TDD DL is adopted in the aggressor network.</w:t>
      </w:r>
    </w:p>
    <w:p w14:paraId="4BE5E08F" w14:textId="2E158182" w:rsidR="00B57EF2" w:rsidRDefault="0087716D" w:rsidP="00BF50E7">
      <w:pPr>
        <w:rPr>
          <w:lang w:val="en-US"/>
        </w:rPr>
      </w:pPr>
      <w:r w:rsidRPr="009D3E26">
        <w:rPr>
          <w:b/>
          <w:bCs/>
          <w:lang w:val="en-US"/>
        </w:rPr>
        <w:t xml:space="preserve">Proposal </w:t>
      </w:r>
      <w:r w:rsidR="00BB105F">
        <w:rPr>
          <w:b/>
          <w:bCs/>
          <w:lang w:val="en-US"/>
        </w:rPr>
        <w:t>1</w:t>
      </w:r>
      <w:r w:rsidR="005C792F">
        <w:rPr>
          <w:b/>
          <w:bCs/>
          <w:lang w:val="en-US"/>
        </w:rPr>
        <w:t>3</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w:t>
      </w:r>
      <w:r w:rsidR="00B37EBF">
        <w:rPr>
          <w:b/>
          <w:bCs/>
        </w:rPr>
        <w:t>Urban Macro</w:t>
      </w:r>
      <w:r w:rsidR="00B37EBF" w:rsidRPr="006B4412">
        <w:rPr>
          <w:b/>
          <w:bCs/>
        </w:rPr>
        <w:t xml:space="preserve"> </w:t>
      </w:r>
      <w:r w:rsidRPr="006B4412">
        <w:rPr>
          <w:b/>
          <w:bCs/>
        </w:rPr>
        <w:t xml:space="preserve">Case </w:t>
      </w:r>
      <w:r>
        <w:rPr>
          <w:b/>
          <w:bCs/>
        </w:rPr>
        <w:t>3</w:t>
      </w:r>
      <w:r w:rsidRPr="006B4412">
        <w:rPr>
          <w:b/>
          <w:bCs/>
        </w:rPr>
        <w:t xml:space="preserve"> is </w:t>
      </w:r>
      <w:r>
        <w:rPr>
          <w:b/>
          <w:bCs/>
        </w:rPr>
        <w:t xml:space="preserve">not </w:t>
      </w:r>
      <w:r w:rsidRPr="006B4412">
        <w:rPr>
          <w:b/>
          <w:bCs/>
        </w:rPr>
        <w:t xml:space="preserve">acceptable when </w:t>
      </w:r>
      <w:r>
        <w:rPr>
          <w:b/>
          <w:bCs/>
        </w:rPr>
        <w:t>TDD DL is adopted in the aggressor network</w:t>
      </w:r>
      <w:r w:rsidR="00D07634">
        <w:rPr>
          <w:b/>
          <w:bCs/>
        </w:rPr>
        <w:t>.</w:t>
      </w:r>
    </w:p>
    <w:p w14:paraId="3DF423B7" w14:textId="18B8C7F2" w:rsidR="00990225" w:rsidRDefault="00990225" w:rsidP="00990225">
      <w:pPr>
        <w:pStyle w:val="Heading4"/>
        <w:ind w:left="0" w:firstLine="0"/>
        <w:rPr>
          <w:lang w:val="en-US"/>
        </w:rPr>
      </w:pPr>
      <w:r w:rsidRPr="00FC6DDC">
        <w:rPr>
          <w:lang w:val="en-US"/>
        </w:rPr>
        <w:t>3.2.2 Scenario 2: FR1 Urban Hotspot</w:t>
      </w:r>
    </w:p>
    <w:p w14:paraId="149D1C8C" w14:textId="3065E805" w:rsidR="007F1150" w:rsidRPr="001D3F20" w:rsidRDefault="005F1684" w:rsidP="007F1150">
      <w:pPr>
        <w:rPr>
          <w:lang w:val="en-US"/>
        </w:rPr>
      </w:pPr>
      <w:r>
        <w:rPr>
          <w:lang w:val="en-US"/>
        </w:rPr>
        <w:fldChar w:fldCharType="begin"/>
      </w:r>
      <w:r>
        <w:rPr>
          <w:lang w:val="en-US"/>
        </w:rPr>
        <w:instrText xml:space="preserve"> REF _Ref146695195 \h </w:instrText>
      </w:r>
      <w:r>
        <w:rPr>
          <w:lang w:val="en-US"/>
        </w:rPr>
      </w:r>
      <w:r>
        <w:rPr>
          <w:lang w:val="en-US"/>
        </w:rPr>
        <w:fldChar w:fldCharType="separate"/>
      </w:r>
      <w:r w:rsidR="004D336C">
        <w:t xml:space="preserve">Figure </w:t>
      </w:r>
      <w:r w:rsidR="004D336C">
        <w:rPr>
          <w:noProof/>
        </w:rPr>
        <w:t>12</w:t>
      </w:r>
      <w:r>
        <w:rPr>
          <w:lang w:val="en-US"/>
        </w:rPr>
        <w:fldChar w:fldCharType="end"/>
      </w:r>
      <w:r>
        <w:rPr>
          <w:lang w:val="en-US"/>
        </w:rPr>
        <w:t xml:space="preserve"> </w:t>
      </w:r>
      <w:r w:rsidR="007F1150">
        <w:rPr>
          <w:lang w:val="en-US"/>
        </w:rPr>
        <w:t>shows the UL performance of SBFD when there is no aggressor network and when SBFD coexists with TDD DL. First, when coexisting with TDD DL, it is noted that the BS receiver is fully blocked at the 5</w:t>
      </w:r>
      <w:r w:rsidR="007F1150" w:rsidRPr="009D3E26">
        <w:rPr>
          <w:vertAlign w:val="superscript"/>
          <w:lang w:val="en-US"/>
        </w:rPr>
        <w:t>th</w:t>
      </w:r>
      <w:r w:rsidR="007F1150">
        <w:rPr>
          <w:lang w:val="en-US"/>
        </w:rPr>
        <w:t xml:space="preserve"> percentile due to the presence of strong BS-to-BS ACI generated at the TDD DL aggressor.</w:t>
      </w:r>
      <w:r w:rsidR="007F1150" w:rsidRPr="003F56BC">
        <w:rPr>
          <w:lang w:val="en-US"/>
        </w:rPr>
        <w:t xml:space="preserve"> </w:t>
      </w:r>
      <w:r w:rsidR="007F1150">
        <w:rPr>
          <w:lang w:val="en-US"/>
        </w:rPr>
        <w:t>Moreover, the UL SINR for any of the considered cases is below the minimum required UL SINR and therefore the UL throughput is 0. On the average, the BS-to-BS ACI clearly degrades the performance, and it is more noticeable as the distance between victim and aggressor base stations decreases, i.e., 10% grid offset. The trends are very similar regardless of which type of antenna configuration is adopted at the victim base stations.</w:t>
      </w:r>
    </w:p>
    <w:p w14:paraId="6A5CD5D6" w14:textId="798790DD" w:rsidR="007F1150" w:rsidRDefault="007F1150" w:rsidP="007F1150">
      <w:pPr>
        <w:keepNext/>
        <w:jc w:val="center"/>
      </w:pPr>
      <w:r w:rsidRPr="003C2535">
        <w:lastRenderedPageBreak/>
        <w:t xml:space="preserve"> </w:t>
      </w:r>
      <w:r w:rsidR="00BA48EE" w:rsidRPr="00BA48EE">
        <w:rPr>
          <w:noProof/>
        </w:rPr>
        <w:drawing>
          <wp:inline distT="0" distB="0" distL="0" distR="0" wp14:anchorId="56EAA006" wp14:editId="63006333">
            <wp:extent cx="4913219" cy="3370786"/>
            <wp:effectExtent l="0" t="0" r="190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rotWithShape="1">
                    <a:blip r:embed="rId24">
                      <a:extLst>
                        <a:ext uri="{28A0092B-C50C-407E-A947-70E740481C1C}">
                          <a14:useLocalDpi xmlns:a14="http://schemas.microsoft.com/office/drawing/2010/main" val="0"/>
                        </a:ext>
                      </a:extLst>
                    </a:blip>
                    <a:srcRect l="7020" t="1853" r="8071" b="5888"/>
                    <a:stretch/>
                  </pic:blipFill>
                  <pic:spPr bwMode="auto">
                    <a:xfrm>
                      <a:off x="0" y="0"/>
                      <a:ext cx="4917349" cy="3373619"/>
                    </a:xfrm>
                    <a:prstGeom prst="rect">
                      <a:avLst/>
                    </a:prstGeom>
                    <a:noFill/>
                    <a:ln>
                      <a:noFill/>
                    </a:ln>
                    <a:extLst>
                      <a:ext uri="{53640926-AAD7-44D8-BBD7-CCE9431645EC}">
                        <a14:shadowObscured xmlns:a14="http://schemas.microsoft.com/office/drawing/2010/main"/>
                      </a:ext>
                    </a:extLst>
                  </pic:spPr>
                </pic:pic>
              </a:graphicData>
            </a:graphic>
          </wp:inline>
        </w:drawing>
      </w:r>
    </w:p>
    <w:p w14:paraId="06846EAD" w14:textId="1B156B7C" w:rsidR="007F1150" w:rsidRDefault="007F1150" w:rsidP="007F1150">
      <w:pPr>
        <w:pStyle w:val="Caption"/>
        <w:jc w:val="center"/>
      </w:pPr>
      <w:bookmarkStart w:id="35" w:name="_Ref146695195"/>
      <w:r>
        <w:t xml:space="preserve">Figure </w:t>
      </w:r>
      <w:r>
        <w:fldChar w:fldCharType="begin"/>
      </w:r>
      <w:r>
        <w:instrText xml:space="preserve"> SEQ Figure \* ARABIC </w:instrText>
      </w:r>
      <w:r>
        <w:fldChar w:fldCharType="separate"/>
      </w:r>
      <w:r w:rsidR="004D336C">
        <w:rPr>
          <w:noProof/>
        </w:rPr>
        <w:t>12</w:t>
      </w:r>
      <w:r>
        <w:fldChar w:fldCharType="end"/>
      </w:r>
      <w:bookmarkEnd w:id="35"/>
      <w:r>
        <w:t xml:space="preserve">. Comparison of UL SINR and UL throughput for Case 3 Urban </w:t>
      </w:r>
      <w:r w:rsidR="00BA48EE">
        <w:t>Hotspot</w:t>
      </w:r>
      <w:r>
        <w:t xml:space="preserve"> scenario</w:t>
      </w:r>
    </w:p>
    <w:p w14:paraId="2196A6F6" w14:textId="77777777" w:rsidR="007F1150" w:rsidRDefault="007F1150" w:rsidP="007F1150">
      <w:pPr>
        <w:rPr>
          <w:lang w:val="en-US"/>
        </w:rPr>
      </w:pPr>
    </w:p>
    <w:p w14:paraId="2B8FE31E" w14:textId="3566C3B5" w:rsidR="007F1150" w:rsidRDefault="005F1684" w:rsidP="007F1150">
      <w:pPr>
        <w:rPr>
          <w:lang w:val="en-US"/>
        </w:rPr>
      </w:pPr>
      <w:r>
        <w:rPr>
          <w:lang w:val="en-US"/>
        </w:rPr>
        <w:fldChar w:fldCharType="begin"/>
      </w:r>
      <w:r>
        <w:rPr>
          <w:lang w:val="en-US"/>
        </w:rPr>
        <w:instrText xml:space="preserve"> REF _Ref146695204 \h </w:instrText>
      </w:r>
      <w:r>
        <w:rPr>
          <w:lang w:val="en-US"/>
        </w:rPr>
      </w:r>
      <w:r>
        <w:rPr>
          <w:lang w:val="en-US"/>
        </w:rPr>
        <w:fldChar w:fldCharType="separate"/>
      </w:r>
      <w:r w:rsidR="004D336C">
        <w:t xml:space="preserve">Table </w:t>
      </w:r>
      <w:r w:rsidR="004D336C">
        <w:rPr>
          <w:noProof/>
        </w:rPr>
        <w:t>12</w:t>
      </w:r>
      <w:r>
        <w:rPr>
          <w:lang w:val="en-US"/>
        </w:rPr>
        <w:fldChar w:fldCharType="end"/>
      </w:r>
      <w:r>
        <w:rPr>
          <w:lang w:val="en-US"/>
        </w:rPr>
        <w:t xml:space="preserve"> </w:t>
      </w:r>
      <w:r w:rsidR="007F1150">
        <w:rPr>
          <w:lang w:val="en-US"/>
        </w:rPr>
        <w:t xml:space="preserve">includes the coexistence performance summary of SBFD in both DL and UL when TDD DL acts as the aggressor network. The table includes different grid offsets and highlights the throughput degradation values above 5%. The table also includes the DL performance of SBFD when coexisting with TDD DL. For such case, we note that the degradation due to ACI is low for </w:t>
      </w:r>
      <w:r w:rsidR="002A632C">
        <w:rPr>
          <w:lang w:val="en-US"/>
        </w:rPr>
        <w:t>most</w:t>
      </w:r>
      <w:r w:rsidR="007F1150">
        <w:rPr>
          <w:lang w:val="en-US"/>
        </w:rPr>
        <w:t xml:space="preserve"> the considered cases.</w:t>
      </w:r>
    </w:p>
    <w:p w14:paraId="4A08AEC5" w14:textId="4EC28D1C" w:rsidR="007F1150" w:rsidRDefault="007F1150" w:rsidP="007F1150">
      <w:pPr>
        <w:pStyle w:val="Caption"/>
        <w:keepNext/>
      </w:pPr>
      <w:bookmarkStart w:id="36" w:name="_Ref146695204"/>
      <w:r>
        <w:t xml:space="preserve">Table </w:t>
      </w:r>
      <w:r>
        <w:fldChar w:fldCharType="begin"/>
      </w:r>
      <w:r>
        <w:instrText xml:space="preserve"> SEQ Table \* ARABIC </w:instrText>
      </w:r>
      <w:r>
        <w:fldChar w:fldCharType="separate"/>
      </w:r>
      <w:r w:rsidR="004D336C">
        <w:rPr>
          <w:noProof/>
        </w:rPr>
        <w:t>12</w:t>
      </w:r>
      <w:r>
        <w:fldChar w:fldCharType="end"/>
      </w:r>
      <w:bookmarkEnd w:id="36"/>
      <w:r>
        <w:t xml:space="preserve">. Performance summary for Case 3 Urban </w:t>
      </w:r>
      <w:r w:rsidR="00BA48EE">
        <w:t xml:space="preserve">Hotspot </w:t>
      </w:r>
      <w:r>
        <w:t>scenario</w:t>
      </w:r>
    </w:p>
    <w:tbl>
      <w:tblPr>
        <w:tblW w:w="9905" w:type="dxa"/>
        <w:tblLook w:val="04A0" w:firstRow="1" w:lastRow="0" w:firstColumn="1" w:lastColumn="0" w:noHBand="0" w:noVBand="1"/>
      </w:tblPr>
      <w:tblGrid>
        <w:gridCol w:w="694"/>
        <w:gridCol w:w="910"/>
        <w:gridCol w:w="750"/>
        <w:gridCol w:w="1141"/>
        <w:gridCol w:w="750"/>
        <w:gridCol w:w="815"/>
        <w:gridCol w:w="910"/>
        <w:gridCol w:w="1336"/>
        <w:gridCol w:w="771"/>
        <w:gridCol w:w="805"/>
        <w:gridCol w:w="801"/>
        <w:gridCol w:w="222"/>
      </w:tblGrid>
      <w:tr w:rsidR="002F682C" w:rsidRPr="002F682C" w14:paraId="0E8B99D6" w14:textId="77777777" w:rsidTr="00B334F7">
        <w:trPr>
          <w:gridAfter w:val="1"/>
          <w:wAfter w:w="28" w:type="dxa"/>
          <w:trHeight w:val="316"/>
        </w:trPr>
        <w:tc>
          <w:tcPr>
            <w:tcW w:w="987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FC6A6D"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2: FR1 Urban Hotspot</w:t>
            </w:r>
            <w:r w:rsidRPr="00B334F7">
              <w:rPr>
                <w:rFonts w:ascii="Times New Roman" w:eastAsia="Times New Roman" w:hAnsi="Times New Roman" w:cs="Times New Roman"/>
                <w:b/>
                <w:bCs/>
                <w:sz w:val="16"/>
                <w:szCs w:val="16"/>
                <w:lang w:val="en-US"/>
              </w:rPr>
              <w:br/>
              <w:t>Case 3: SBFD as victim with TDD DL as aggressor</w:t>
            </w:r>
          </w:p>
        </w:tc>
      </w:tr>
      <w:tr w:rsidR="00F733A0" w:rsidRPr="002F682C" w14:paraId="22519415" w14:textId="77777777" w:rsidTr="002F682C">
        <w:trPr>
          <w:gridAfter w:val="1"/>
          <w:wAfter w:w="33" w:type="dxa"/>
          <w:trHeight w:val="301"/>
        </w:trPr>
        <w:tc>
          <w:tcPr>
            <w:tcW w:w="794" w:type="dxa"/>
            <w:vMerge w:val="restart"/>
            <w:tcBorders>
              <w:top w:val="nil"/>
              <w:left w:val="single" w:sz="4" w:space="0" w:color="auto"/>
              <w:bottom w:val="single" w:sz="4" w:space="0" w:color="auto"/>
              <w:right w:val="single" w:sz="4" w:space="0" w:color="auto"/>
            </w:tcBorders>
            <w:shd w:val="clear" w:color="auto" w:fill="auto"/>
            <w:vAlign w:val="center"/>
            <w:hideMark/>
          </w:tcPr>
          <w:p w14:paraId="1C997019"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456E4241"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18" w:type="dxa"/>
            <w:vMerge w:val="restart"/>
            <w:tcBorders>
              <w:top w:val="nil"/>
              <w:left w:val="single" w:sz="4" w:space="0" w:color="auto"/>
              <w:bottom w:val="single" w:sz="4" w:space="0" w:color="auto"/>
              <w:right w:val="single" w:sz="4" w:space="0" w:color="auto"/>
            </w:tcBorders>
            <w:shd w:val="clear" w:color="auto" w:fill="auto"/>
            <w:vAlign w:val="center"/>
            <w:hideMark/>
          </w:tcPr>
          <w:p w14:paraId="31F082EB"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13" w:type="dxa"/>
            <w:vMerge w:val="restart"/>
            <w:tcBorders>
              <w:top w:val="nil"/>
              <w:left w:val="single" w:sz="4" w:space="0" w:color="auto"/>
              <w:bottom w:val="single" w:sz="4" w:space="0" w:color="auto"/>
              <w:right w:val="single" w:sz="4" w:space="0" w:color="auto"/>
            </w:tcBorders>
            <w:shd w:val="clear" w:color="auto" w:fill="auto"/>
            <w:vAlign w:val="center"/>
            <w:hideMark/>
          </w:tcPr>
          <w:p w14:paraId="72DB39E6"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18" w:type="dxa"/>
            <w:vMerge w:val="restart"/>
            <w:tcBorders>
              <w:top w:val="nil"/>
              <w:left w:val="single" w:sz="4" w:space="0" w:color="auto"/>
              <w:bottom w:val="single" w:sz="4" w:space="0" w:color="auto"/>
              <w:right w:val="single" w:sz="4" w:space="0" w:color="auto"/>
            </w:tcBorders>
            <w:shd w:val="clear" w:color="auto" w:fill="auto"/>
            <w:vAlign w:val="center"/>
            <w:hideMark/>
          </w:tcPr>
          <w:p w14:paraId="5F492629"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1449EB9B"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14:paraId="72E064AF"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21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838370"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60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562EE3"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F733A0" w:rsidRPr="002F682C" w14:paraId="05A578D3" w14:textId="77777777" w:rsidTr="002F682C">
        <w:trPr>
          <w:trHeight w:val="301"/>
        </w:trPr>
        <w:tc>
          <w:tcPr>
            <w:tcW w:w="794" w:type="dxa"/>
            <w:vMerge/>
            <w:tcBorders>
              <w:top w:val="nil"/>
              <w:left w:val="single" w:sz="4" w:space="0" w:color="auto"/>
              <w:bottom w:val="single" w:sz="4" w:space="0" w:color="auto"/>
              <w:right w:val="single" w:sz="4" w:space="0" w:color="auto"/>
            </w:tcBorders>
            <w:vAlign w:val="center"/>
            <w:hideMark/>
          </w:tcPr>
          <w:p w14:paraId="2EAAA666"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6" w:type="dxa"/>
            <w:vMerge/>
            <w:tcBorders>
              <w:top w:val="nil"/>
              <w:left w:val="single" w:sz="4" w:space="0" w:color="auto"/>
              <w:bottom w:val="single" w:sz="4" w:space="0" w:color="auto"/>
              <w:right w:val="single" w:sz="4" w:space="0" w:color="auto"/>
            </w:tcBorders>
            <w:vAlign w:val="center"/>
            <w:hideMark/>
          </w:tcPr>
          <w:p w14:paraId="63BE5671"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18" w:type="dxa"/>
            <w:vMerge/>
            <w:tcBorders>
              <w:top w:val="nil"/>
              <w:left w:val="single" w:sz="4" w:space="0" w:color="auto"/>
              <w:bottom w:val="single" w:sz="4" w:space="0" w:color="auto"/>
              <w:right w:val="single" w:sz="4" w:space="0" w:color="auto"/>
            </w:tcBorders>
            <w:vAlign w:val="center"/>
            <w:hideMark/>
          </w:tcPr>
          <w:p w14:paraId="18072085"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13" w:type="dxa"/>
            <w:vMerge/>
            <w:tcBorders>
              <w:top w:val="nil"/>
              <w:left w:val="single" w:sz="4" w:space="0" w:color="auto"/>
              <w:bottom w:val="single" w:sz="4" w:space="0" w:color="auto"/>
              <w:right w:val="single" w:sz="4" w:space="0" w:color="auto"/>
            </w:tcBorders>
            <w:vAlign w:val="center"/>
            <w:hideMark/>
          </w:tcPr>
          <w:p w14:paraId="64773E45"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18" w:type="dxa"/>
            <w:vMerge/>
            <w:tcBorders>
              <w:top w:val="nil"/>
              <w:left w:val="single" w:sz="4" w:space="0" w:color="auto"/>
              <w:bottom w:val="single" w:sz="4" w:space="0" w:color="auto"/>
              <w:right w:val="single" w:sz="4" w:space="0" w:color="auto"/>
            </w:tcBorders>
            <w:vAlign w:val="center"/>
            <w:hideMark/>
          </w:tcPr>
          <w:p w14:paraId="4D9CC07F"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8" w:type="dxa"/>
            <w:vMerge/>
            <w:tcBorders>
              <w:top w:val="nil"/>
              <w:left w:val="single" w:sz="4" w:space="0" w:color="auto"/>
              <w:bottom w:val="single" w:sz="4" w:space="0" w:color="auto"/>
              <w:right w:val="single" w:sz="4" w:space="0" w:color="auto"/>
            </w:tcBorders>
            <w:vAlign w:val="center"/>
            <w:hideMark/>
          </w:tcPr>
          <w:p w14:paraId="1191A367"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5" w:type="dxa"/>
            <w:vMerge/>
            <w:tcBorders>
              <w:top w:val="nil"/>
              <w:left w:val="single" w:sz="4" w:space="0" w:color="auto"/>
              <w:bottom w:val="single" w:sz="4" w:space="0" w:color="auto"/>
              <w:right w:val="single" w:sz="4" w:space="0" w:color="auto"/>
            </w:tcBorders>
            <w:vAlign w:val="center"/>
            <w:hideMark/>
          </w:tcPr>
          <w:p w14:paraId="1B36630A"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10822817"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603" w:type="dxa"/>
            <w:gridSpan w:val="2"/>
            <w:vMerge/>
            <w:tcBorders>
              <w:top w:val="single" w:sz="4" w:space="0" w:color="auto"/>
              <w:left w:val="single" w:sz="4" w:space="0" w:color="auto"/>
              <w:bottom w:val="single" w:sz="4" w:space="0" w:color="auto"/>
              <w:right w:val="single" w:sz="4" w:space="0" w:color="auto"/>
            </w:tcBorders>
            <w:vAlign w:val="center"/>
            <w:hideMark/>
          </w:tcPr>
          <w:p w14:paraId="6C48A955"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33" w:type="dxa"/>
            <w:tcBorders>
              <w:top w:val="nil"/>
              <w:left w:val="nil"/>
              <w:bottom w:val="nil"/>
              <w:right w:val="nil"/>
            </w:tcBorders>
            <w:shd w:val="clear" w:color="auto" w:fill="auto"/>
            <w:noWrap/>
            <w:vAlign w:val="bottom"/>
            <w:hideMark/>
          </w:tcPr>
          <w:p w14:paraId="3A951DD0"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p>
        </w:tc>
      </w:tr>
      <w:tr w:rsidR="00F733A0" w:rsidRPr="002F682C" w14:paraId="4FA01054" w14:textId="77777777" w:rsidTr="002F682C">
        <w:trPr>
          <w:trHeight w:val="301"/>
        </w:trPr>
        <w:tc>
          <w:tcPr>
            <w:tcW w:w="794" w:type="dxa"/>
            <w:vMerge/>
            <w:tcBorders>
              <w:top w:val="nil"/>
              <w:left w:val="single" w:sz="4" w:space="0" w:color="auto"/>
              <w:bottom w:val="single" w:sz="4" w:space="0" w:color="auto"/>
              <w:right w:val="single" w:sz="4" w:space="0" w:color="auto"/>
            </w:tcBorders>
            <w:vAlign w:val="center"/>
            <w:hideMark/>
          </w:tcPr>
          <w:p w14:paraId="3818FC56"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6" w:type="dxa"/>
            <w:vMerge/>
            <w:tcBorders>
              <w:top w:val="nil"/>
              <w:left w:val="single" w:sz="4" w:space="0" w:color="auto"/>
              <w:bottom w:val="single" w:sz="4" w:space="0" w:color="auto"/>
              <w:right w:val="single" w:sz="4" w:space="0" w:color="auto"/>
            </w:tcBorders>
            <w:vAlign w:val="center"/>
            <w:hideMark/>
          </w:tcPr>
          <w:p w14:paraId="3195463C"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18" w:type="dxa"/>
            <w:vMerge/>
            <w:tcBorders>
              <w:top w:val="nil"/>
              <w:left w:val="single" w:sz="4" w:space="0" w:color="auto"/>
              <w:bottom w:val="single" w:sz="4" w:space="0" w:color="auto"/>
              <w:right w:val="single" w:sz="4" w:space="0" w:color="auto"/>
            </w:tcBorders>
            <w:vAlign w:val="center"/>
            <w:hideMark/>
          </w:tcPr>
          <w:p w14:paraId="46B44137"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13" w:type="dxa"/>
            <w:vMerge/>
            <w:tcBorders>
              <w:top w:val="nil"/>
              <w:left w:val="single" w:sz="4" w:space="0" w:color="auto"/>
              <w:bottom w:val="single" w:sz="4" w:space="0" w:color="auto"/>
              <w:right w:val="single" w:sz="4" w:space="0" w:color="auto"/>
            </w:tcBorders>
            <w:vAlign w:val="center"/>
            <w:hideMark/>
          </w:tcPr>
          <w:p w14:paraId="0C36B785"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18" w:type="dxa"/>
            <w:vMerge/>
            <w:tcBorders>
              <w:top w:val="nil"/>
              <w:left w:val="single" w:sz="4" w:space="0" w:color="auto"/>
              <w:bottom w:val="single" w:sz="4" w:space="0" w:color="auto"/>
              <w:right w:val="single" w:sz="4" w:space="0" w:color="auto"/>
            </w:tcBorders>
            <w:vAlign w:val="center"/>
            <w:hideMark/>
          </w:tcPr>
          <w:p w14:paraId="2A2B294F"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8" w:type="dxa"/>
            <w:vMerge/>
            <w:tcBorders>
              <w:top w:val="nil"/>
              <w:left w:val="single" w:sz="4" w:space="0" w:color="auto"/>
              <w:bottom w:val="single" w:sz="4" w:space="0" w:color="auto"/>
              <w:right w:val="single" w:sz="4" w:space="0" w:color="auto"/>
            </w:tcBorders>
            <w:vAlign w:val="center"/>
            <w:hideMark/>
          </w:tcPr>
          <w:p w14:paraId="54DC73D2"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5" w:type="dxa"/>
            <w:vMerge/>
            <w:tcBorders>
              <w:top w:val="nil"/>
              <w:left w:val="single" w:sz="4" w:space="0" w:color="auto"/>
              <w:bottom w:val="single" w:sz="4" w:space="0" w:color="auto"/>
              <w:right w:val="single" w:sz="4" w:space="0" w:color="auto"/>
            </w:tcBorders>
            <w:vAlign w:val="center"/>
            <w:hideMark/>
          </w:tcPr>
          <w:p w14:paraId="28541B01"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336" w:type="dxa"/>
            <w:tcBorders>
              <w:top w:val="nil"/>
              <w:left w:val="nil"/>
              <w:bottom w:val="single" w:sz="4" w:space="0" w:color="auto"/>
              <w:right w:val="single" w:sz="4" w:space="0" w:color="auto"/>
            </w:tcBorders>
            <w:shd w:val="clear" w:color="auto" w:fill="auto"/>
            <w:vAlign w:val="center"/>
            <w:hideMark/>
          </w:tcPr>
          <w:p w14:paraId="3D9CB56D"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771" w:type="dxa"/>
            <w:tcBorders>
              <w:top w:val="nil"/>
              <w:left w:val="nil"/>
              <w:bottom w:val="single" w:sz="4" w:space="0" w:color="auto"/>
              <w:right w:val="single" w:sz="4" w:space="0" w:color="auto"/>
            </w:tcBorders>
            <w:shd w:val="clear" w:color="auto" w:fill="auto"/>
            <w:vAlign w:val="center"/>
            <w:hideMark/>
          </w:tcPr>
          <w:p w14:paraId="3FE8FC0D"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05" w:type="dxa"/>
            <w:tcBorders>
              <w:top w:val="nil"/>
              <w:left w:val="nil"/>
              <w:bottom w:val="single" w:sz="4" w:space="0" w:color="auto"/>
              <w:right w:val="single" w:sz="4" w:space="0" w:color="auto"/>
            </w:tcBorders>
            <w:shd w:val="clear" w:color="auto" w:fill="auto"/>
            <w:vAlign w:val="center"/>
            <w:hideMark/>
          </w:tcPr>
          <w:p w14:paraId="681A5650"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798" w:type="dxa"/>
            <w:tcBorders>
              <w:top w:val="nil"/>
              <w:left w:val="nil"/>
              <w:bottom w:val="single" w:sz="4" w:space="0" w:color="auto"/>
              <w:right w:val="single" w:sz="4" w:space="0" w:color="auto"/>
            </w:tcBorders>
            <w:shd w:val="clear" w:color="auto" w:fill="auto"/>
            <w:vAlign w:val="center"/>
            <w:hideMark/>
          </w:tcPr>
          <w:p w14:paraId="556E21DD"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33" w:type="dxa"/>
            <w:vAlign w:val="center"/>
            <w:hideMark/>
          </w:tcPr>
          <w:p w14:paraId="7D15FD37"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r>
      <w:tr w:rsidR="00F733A0" w:rsidRPr="002F682C" w14:paraId="2CF861FB" w14:textId="77777777" w:rsidTr="002F682C">
        <w:trPr>
          <w:trHeight w:val="767"/>
        </w:trPr>
        <w:tc>
          <w:tcPr>
            <w:tcW w:w="794" w:type="dxa"/>
            <w:tcBorders>
              <w:top w:val="nil"/>
              <w:left w:val="single" w:sz="4" w:space="0" w:color="auto"/>
              <w:bottom w:val="single" w:sz="4" w:space="0" w:color="auto"/>
              <w:right w:val="single" w:sz="4" w:space="0" w:color="auto"/>
            </w:tcBorders>
            <w:shd w:val="clear" w:color="auto" w:fill="auto"/>
            <w:vAlign w:val="center"/>
            <w:hideMark/>
          </w:tcPr>
          <w:p w14:paraId="4A9F4F57"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886" w:type="dxa"/>
            <w:vMerge w:val="restart"/>
            <w:tcBorders>
              <w:top w:val="nil"/>
              <w:left w:val="single" w:sz="4" w:space="0" w:color="auto"/>
              <w:bottom w:val="single" w:sz="4" w:space="0" w:color="000000"/>
              <w:right w:val="single" w:sz="4" w:space="0" w:color="auto"/>
            </w:tcBorders>
            <w:shd w:val="clear" w:color="auto" w:fill="auto"/>
            <w:vAlign w:val="center"/>
            <w:hideMark/>
          </w:tcPr>
          <w:p w14:paraId="5CB39ADD"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DL</w:t>
            </w:r>
          </w:p>
        </w:tc>
        <w:tc>
          <w:tcPr>
            <w:tcW w:w="818" w:type="dxa"/>
            <w:vMerge w:val="restart"/>
            <w:tcBorders>
              <w:top w:val="nil"/>
              <w:left w:val="single" w:sz="4" w:space="0" w:color="auto"/>
              <w:bottom w:val="single" w:sz="4" w:space="0" w:color="auto"/>
              <w:right w:val="single" w:sz="4" w:space="0" w:color="auto"/>
            </w:tcBorders>
            <w:shd w:val="clear" w:color="auto" w:fill="auto"/>
            <w:vAlign w:val="center"/>
            <w:hideMark/>
          </w:tcPr>
          <w:p w14:paraId="7148FD74"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DL</w:t>
            </w:r>
          </w:p>
        </w:tc>
        <w:tc>
          <w:tcPr>
            <w:tcW w:w="1113" w:type="dxa"/>
            <w:tcBorders>
              <w:top w:val="nil"/>
              <w:left w:val="nil"/>
              <w:bottom w:val="single" w:sz="4" w:space="0" w:color="auto"/>
              <w:right w:val="single" w:sz="4" w:space="0" w:color="auto"/>
            </w:tcBorders>
            <w:shd w:val="clear" w:color="auto" w:fill="auto"/>
            <w:vAlign w:val="center"/>
            <w:hideMark/>
          </w:tcPr>
          <w:p w14:paraId="18303DEF"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18" w:type="dxa"/>
            <w:vMerge w:val="restart"/>
            <w:tcBorders>
              <w:top w:val="nil"/>
              <w:left w:val="single" w:sz="4" w:space="0" w:color="auto"/>
              <w:bottom w:val="single" w:sz="4" w:space="0" w:color="auto"/>
              <w:right w:val="single" w:sz="4" w:space="0" w:color="auto"/>
            </w:tcBorders>
            <w:shd w:val="clear" w:color="auto" w:fill="auto"/>
            <w:vAlign w:val="center"/>
            <w:hideMark/>
          </w:tcPr>
          <w:p w14:paraId="0DC4B7CB"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50 dBm</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4ECBA28A"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Enabled, without sub-band filtering</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14:paraId="75276005"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53 dBm</w:t>
            </w:r>
          </w:p>
        </w:tc>
        <w:tc>
          <w:tcPr>
            <w:tcW w:w="1336" w:type="dxa"/>
            <w:tcBorders>
              <w:top w:val="nil"/>
              <w:left w:val="nil"/>
              <w:bottom w:val="single" w:sz="4" w:space="0" w:color="auto"/>
              <w:right w:val="single" w:sz="4" w:space="0" w:color="auto"/>
            </w:tcBorders>
            <w:shd w:val="clear" w:color="auto" w:fill="auto"/>
            <w:noWrap/>
            <w:vAlign w:val="center"/>
            <w:hideMark/>
          </w:tcPr>
          <w:p w14:paraId="029BA27F"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0.33</w:t>
            </w:r>
          </w:p>
        </w:tc>
        <w:tc>
          <w:tcPr>
            <w:tcW w:w="771" w:type="dxa"/>
            <w:tcBorders>
              <w:top w:val="nil"/>
              <w:left w:val="nil"/>
              <w:bottom w:val="single" w:sz="4" w:space="0" w:color="auto"/>
              <w:right w:val="single" w:sz="4" w:space="0" w:color="auto"/>
            </w:tcBorders>
            <w:shd w:val="clear" w:color="auto" w:fill="auto"/>
            <w:noWrap/>
            <w:vAlign w:val="center"/>
            <w:hideMark/>
          </w:tcPr>
          <w:p w14:paraId="27B58D39"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0.8</w:t>
            </w:r>
          </w:p>
        </w:tc>
        <w:tc>
          <w:tcPr>
            <w:tcW w:w="805"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AF78831"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798" w:type="dxa"/>
            <w:tcBorders>
              <w:top w:val="nil"/>
              <w:left w:val="nil"/>
              <w:bottom w:val="single" w:sz="4" w:space="0" w:color="auto"/>
              <w:right w:val="single" w:sz="4" w:space="0" w:color="auto"/>
            </w:tcBorders>
            <w:shd w:val="clear" w:color="auto" w:fill="auto"/>
            <w:noWrap/>
            <w:vAlign w:val="center"/>
            <w:hideMark/>
          </w:tcPr>
          <w:p w14:paraId="0530B165"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1.92</w:t>
            </w:r>
          </w:p>
        </w:tc>
        <w:tc>
          <w:tcPr>
            <w:tcW w:w="33" w:type="dxa"/>
            <w:vAlign w:val="center"/>
            <w:hideMark/>
          </w:tcPr>
          <w:p w14:paraId="38123141"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r>
      <w:tr w:rsidR="00DA090F" w:rsidRPr="002F682C" w14:paraId="2C55E925" w14:textId="77777777" w:rsidTr="002F682C">
        <w:trPr>
          <w:trHeight w:val="767"/>
        </w:trPr>
        <w:tc>
          <w:tcPr>
            <w:tcW w:w="794" w:type="dxa"/>
            <w:tcBorders>
              <w:top w:val="nil"/>
              <w:left w:val="single" w:sz="4" w:space="0" w:color="auto"/>
              <w:bottom w:val="single" w:sz="4" w:space="0" w:color="auto"/>
              <w:right w:val="single" w:sz="4" w:space="0" w:color="auto"/>
            </w:tcBorders>
            <w:shd w:val="clear" w:color="auto" w:fill="auto"/>
            <w:vAlign w:val="center"/>
            <w:hideMark/>
          </w:tcPr>
          <w:p w14:paraId="4FD3AC14"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886" w:type="dxa"/>
            <w:vMerge/>
            <w:tcBorders>
              <w:top w:val="nil"/>
              <w:left w:val="single" w:sz="4" w:space="0" w:color="auto"/>
              <w:bottom w:val="single" w:sz="4" w:space="0" w:color="000000"/>
              <w:right w:val="single" w:sz="4" w:space="0" w:color="auto"/>
            </w:tcBorders>
            <w:vAlign w:val="center"/>
            <w:hideMark/>
          </w:tcPr>
          <w:p w14:paraId="067D6990"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18" w:type="dxa"/>
            <w:vMerge/>
            <w:tcBorders>
              <w:top w:val="nil"/>
              <w:left w:val="single" w:sz="4" w:space="0" w:color="auto"/>
              <w:bottom w:val="single" w:sz="4" w:space="0" w:color="auto"/>
              <w:right w:val="single" w:sz="4" w:space="0" w:color="auto"/>
            </w:tcBorders>
            <w:vAlign w:val="center"/>
            <w:hideMark/>
          </w:tcPr>
          <w:p w14:paraId="14477B2D"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13" w:type="dxa"/>
            <w:tcBorders>
              <w:top w:val="nil"/>
              <w:left w:val="nil"/>
              <w:bottom w:val="single" w:sz="4" w:space="0" w:color="auto"/>
              <w:right w:val="single" w:sz="4" w:space="0" w:color="auto"/>
            </w:tcBorders>
            <w:shd w:val="clear" w:color="auto" w:fill="auto"/>
            <w:vAlign w:val="center"/>
            <w:hideMark/>
          </w:tcPr>
          <w:p w14:paraId="154D3A3A"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18" w:type="dxa"/>
            <w:vMerge/>
            <w:tcBorders>
              <w:top w:val="nil"/>
              <w:left w:val="single" w:sz="4" w:space="0" w:color="auto"/>
              <w:bottom w:val="single" w:sz="4" w:space="0" w:color="auto"/>
              <w:right w:val="single" w:sz="4" w:space="0" w:color="auto"/>
            </w:tcBorders>
            <w:vAlign w:val="center"/>
            <w:hideMark/>
          </w:tcPr>
          <w:p w14:paraId="4EBF847B"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8" w:type="dxa"/>
            <w:vMerge/>
            <w:tcBorders>
              <w:top w:val="nil"/>
              <w:left w:val="single" w:sz="4" w:space="0" w:color="auto"/>
              <w:bottom w:val="single" w:sz="4" w:space="0" w:color="auto"/>
              <w:right w:val="single" w:sz="4" w:space="0" w:color="auto"/>
            </w:tcBorders>
            <w:vAlign w:val="center"/>
            <w:hideMark/>
          </w:tcPr>
          <w:p w14:paraId="244A527B"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5" w:type="dxa"/>
            <w:vMerge/>
            <w:tcBorders>
              <w:top w:val="nil"/>
              <w:left w:val="single" w:sz="4" w:space="0" w:color="auto"/>
              <w:bottom w:val="single" w:sz="4" w:space="0" w:color="auto"/>
              <w:right w:val="single" w:sz="4" w:space="0" w:color="auto"/>
            </w:tcBorders>
            <w:vAlign w:val="center"/>
            <w:hideMark/>
          </w:tcPr>
          <w:p w14:paraId="524AEC75"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36" w:type="dxa"/>
            <w:tcBorders>
              <w:top w:val="nil"/>
              <w:left w:val="nil"/>
              <w:bottom w:val="single" w:sz="4" w:space="0" w:color="auto"/>
              <w:right w:val="single" w:sz="4" w:space="0" w:color="auto"/>
            </w:tcBorders>
            <w:shd w:val="clear" w:color="auto" w:fill="auto"/>
            <w:noWrap/>
            <w:vAlign w:val="center"/>
            <w:hideMark/>
          </w:tcPr>
          <w:p w14:paraId="1F5E320D"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0.02</w:t>
            </w:r>
          </w:p>
        </w:tc>
        <w:tc>
          <w:tcPr>
            <w:tcW w:w="771" w:type="dxa"/>
            <w:tcBorders>
              <w:top w:val="nil"/>
              <w:left w:val="nil"/>
              <w:bottom w:val="single" w:sz="4" w:space="0" w:color="auto"/>
              <w:right w:val="single" w:sz="4" w:space="0" w:color="auto"/>
            </w:tcBorders>
            <w:shd w:val="clear" w:color="auto" w:fill="auto"/>
            <w:noWrap/>
            <w:vAlign w:val="center"/>
            <w:hideMark/>
          </w:tcPr>
          <w:p w14:paraId="7BB2E5A0"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0.38</w:t>
            </w:r>
          </w:p>
        </w:tc>
        <w:tc>
          <w:tcPr>
            <w:tcW w:w="805" w:type="dxa"/>
            <w:tcBorders>
              <w:top w:val="nil"/>
              <w:left w:val="nil"/>
              <w:bottom w:val="single" w:sz="4" w:space="0" w:color="auto"/>
              <w:right w:val="single" w:sz="4" w:space="0" w:color="auto"/>
            </w:tcBorders>
            <w:shd w:val="clear" w:color="auto" w:fill="auto"/>
            <w:noWrap/>
            <w:vAlign w:val="center"/>
            <w:hideMark/>
          </w:tcPr>
          <w:p w14:paraId="19202137"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0.6</w:t>
            </w:r>
          </w:p>
        </w:tc>
        <w:tc>
          <w:tcPr>
            <w:tcW w:w="798" w:type="dxa"/>
            <w:tcBorders>
              <w:top w:val="nil"/>
              <w:left w:val="nil"/>
              <w:bottom w:val="single" w:sz="4" w:space="0" w:color="auto"/>
              <w:right w:val="single" w:sz="4" w:space="0" w:color="auto"/>
            </w:tcBorders>
            <w:shd w:val="clear" w:color="auto" w:fill="auto"/>
            <w:noWrap/>
            <w:vAlign w:val="center"/>
            <w:hideMark/>
          </w:tcPr>
          <w:p w14:paraId="00A6F8A7"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1.2</w:t>
            </w:r>
          </w:p>
        </w:tc>
        <w:tc>
          <w:tcPr>
            <w:tcW w:w="33" w:type="dxa"/>
            <w:vAlign w:val="center"/>
            <w:hideMark/>
          </w:tcPr>
          <w:p w14:paraId="209DBE97"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r>
      <w:tr w:rsidR="00DA090F" w:rsidRPr="002F682C" w14:paraId="324223BC" w14:textId="77777777" w:rsidTr="002F682C">
        <w:trPr>
          <w:trHeight w:val="767"/>
        </w:trPr>
        <w:tc>
          <w:tcPr>
            <w:tcW w:w="794" w:type="dxa"/>
            <w:tcBorders>
              <w:top w:val="nil"/>
              <w:left w:val="single" w:sz="4" w:space="0" w:color="auto"/>
              <w:bottom w:val="single" w:sz="4" w:space="0" w:color="auto"/>
              <w:right w:val="single" w:sz="4" w:space="0" w:color="auto"/>
            </w:tcBorders>
            <w:shd w:val="clear" w:color="auto" w:fill="auto"/>
            <w:vAlign w:val="center"/>
            <w:hideMark/>
          </w:tcPr>
          <w:p w14:paraId="0AB4F2F7"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886" w:type="dxa"/>
            <w:vMerge/>
            <w:tcBorders>
              <w:top w:val="nil"/>
              <w:left w:val="single" w:sz="4" w:space="0" w:color="auto"/>
              <w:bottom w:val="single" w:sz="4" w:space="0" w:color="000000"/>
              <w:right w:val="single" w:sz="4" w:space="0" w:color="auto"/>
            </w:tcBorders>
            <w:vAlign w:val="center"/>
            <w:hideMark/>
          </w:tcPr>
          <w:p w14:paraId="5AD9B583"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18" w:type="dxa"/>
            <w:vMerge w:val="restart"/>
            <w:tcBorders>
              <w:top w:val="nil"/>
              <w:left w:val="single" w:sz="4" w:space="0" w:color="auto"/>
              <w:bottom w:val="single" w:sz="4" w:space="0" w:color="auto"/>
              <w:right w:val="single" w:sz="4" w:space="0" w:color="auto"/>
            </w:tcBorders>
            <w:shd w:val="clear" w:color="auto" w:fill="auto"/>
            <w:vAlign w:val="center"/>
            <w:hideMark/>
          </w:tcPr>
          <w:p w14:paraId="6D153CE0"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UL</w:t>
            </w:r>
          </w:p>
        </w:tc>
        <w:tc>
          <w:tcPr>
            <w:tcW w:w="1113" w:type="dxa"/>
            <w:tcBorders>
              <w:top w:val="nil"/>
              <w:left w:val="nil"/>
              <w:bottom w:val="single" w:sz="4" w:space="0" w:color="auto"/>
              <w:right w:val="single" w:sz="4" w:space="0" w:color="auto"/>
            </w:tcBorders>
            <w:shd w:val="clear" w:color="auto" w:fill="auto"/>
            <w:vAlign w:val="center"/>
            <w:hideMark/>
          </w:tcPr>
          <w:p w14:paraId="62CD58DB"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18" w:type="dxa"/>
            <w:vMerge/>
            <w:tcBorders>
              <w:top w:val="nil"/>
              <w:left w:val="single" w:sz="4" w:space="0" w:color="auto"/>
              <w:bottom w:val="single" w:sz="4" w:space="0" w:color="auto"/>
              <w:right w:val="single" w:sz="4" w:space="0" w:color="auto"/>
            </w:tcBorders>
            <w:vAlign w:val="center"/>
            <w:hideMark/>
          </w:tcPr>
          <w:p w14:paraId="7AD6B095"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8" w:type="dxa"/>
            <w:vMerge/>
            <w:tcBorders>
              <w:top w:val="nil"/>
              <w:left w:val="single" w:sz="4" w:space="0" w:color="auto"/>
              <w:bottom w:val="single" w:sz="4" w:space="0" w:color="auto"/>
              <w:right w:val="single" w:sz="4" w:space="0" w:color="auto"/>
            </w:tcBorders>
            <w:vAlign w:val="center"/>
            <w:hideMark/>
          </w:tcPr>
          <w:p w14:paraId="19413AF8"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5" w:type="dxa"/>
            <w:vMerge/>
            <w:tcBorders>
              <w:top w:val="nil"/>
              <w:left w:val="single" w:sz="4" w:space="0" w:color="auto"/>
              <w:bottom w:val="single" w:sz="4" w:space="0" w:color="auto"/>
              <w:right w:val="single" w:sz="4" w:space="0" w:color="auto"/>
            </w:tcBorders>
            <w:vAlign w:val="center"/>
            <w:hideMark/>
          </w:tcPr>
          <w:p w14:paraId="767FF2DD"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36" w:type="dxa"/>
            <w:tcBorders>
              <w:top w:val="nil"/>
              <w:left w:val="nil"/>
              <w:bottom w:val="single" w:sz="4" w:space="0" w:color="auto"/>
              <w:right w:val="single" w:sz="4" w:space="0" w:color="auto"/>
            </w:tcBorders>
            <w:shd w:val="clear" w:color="auto" w:fill="auto"/>
            <w:noWrap/>
            <w:vAlign w:val="center"/>
            <w:hideMark/>
          </w:tcPr>
          <w:p w14:paraId="25950006"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Receiver blocked</w:t>
            </w:r>
          </w:p>
        </w:tc>
        <w:tc>
          <w:tcPr>
            <w:tcW w:w="771" w:type="dxa"/>
            <w:tcBorders>
              <w:top w:val="nil"/>
              <w:left w:val="nil"/>
              <w:bottom w:val="single" w:sz="4" w:space="0" w:color="auto"/>
              <w:right w:val="single" w:sz="4" w:space="0" w:color="auto"/>
            </w:tcBorders>
            <w:shd w:val="clear" w:color="auto" w:fill="auto"/>
            <w:noWrap/>
            <w:vAlign w:val="center"/>
            <w:hideMark/>
          </w:tcPr>
          <w:p w14:paraId="602EA3D8"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3.72</w:t>
            </w:r>
          </w:p>
        </w:tc>
        <w:tc>
          <w:tcPr>
            <w:tcW w:w="805"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850821D"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79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39C7AE9"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19.24</w:t>
            </w:r>
          </w:p>
        </w:tc>
        <w:tc>
          <w:tcPr>
            <w:tcW w:w="33" w:type="dxa"/>
            <w:vAlign w:val="center"/>
            <w:hideMark/>
          </w:tcPr>
          <w:p w14:paraId="65241788"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r>
      <w:tr w:rsidR="00DA090F" w:rsidRPr="002F682C" w14:paraId="10DB64C7" w14:textId="77777777" w:rsidTr="002F682C">
        <w:trPr>
          <w:trHeight w:val="767"/>
        </w:trPr>
        <w:tc>
          <w:tcPr>
            <w:tcW w:w="794" w:type="dxa"/>
            <w:tcBorders>
              <w:top w:val="nil"/>
              <w:left w:val="single" w:sz="4" w:space="0" w:color="auto"/>
              <w:bottom w:val="single" w:sz="4" w:space="0" w:color="auto"/>
              <w:right w:val="single" w:sz="4" w:space="0" w:color="auto"/>
            </w:tcBorders>
            <w:shd w:val="clear" w:color="auto" w:fill="auto"/>
            <w:vAlign w:val="center"/>
            <w:hideMark/>
          </w:tcPr>
          <w:p w14:paraId="1E218AB4"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886" w:type="dxa"/>
            <w:vMerge/>
            <w:tcBorders>
              <w:top w:val="nil"/>
              <w:left w:val="single" w:sz="4" w:space="0" w:color="auto"/>
              <w:bottom w:val="single" w:sz="4" w:space="0" w:color="000000"/>
              <w:right w:val="single" w:sz="4" w:space="0" w:color="auto"/>
            </w:tcBorders>
            <w:vAlign w:val="center"/>
            <w:hideMark/>
          </w:tcPr>
          <w:p w14:paraId="07D2EEDD"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18" w:type="dxa"/>
            <w:vMerge/>
            <w:tcBorders>
              <w:top w:val="nil"/>
              <w:left w:val="single" w:sz="4" w:space="0" w:color="auto"/>
              <w:bottom w:val="single" w:sz="4" w:space="0" w:color="auto"/>
              <w:right w:val="single" w:sz="4" w:space="0" w:color="auto"/>
            </w:tcBorders>
            <w:vAlign w:val="center"/>
            <w:hideMark/>
          </w:tcPr>
          <w:p w14:paraId="42225519"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13" w:type="dxa"/>
            <w:tcBorders>
              <w:top w:val="nil"/>
              <w:left w:val="nil"/>
              <w:bottom w:val="single" w:sz="4" w:space="0" w:color="auto"/>
              <w:right w:val="single" w:sz="4" w:space="0" w:color="auto"/>
            </w:tcBorders>
            <w:shd w:val="clear" w:color="auto" w:fill="auto"/>
            <w:vAlign w:val="center"/>
            <w:hideMark/>
          </w:tcPr>
          <w:p w14:paraId="3A277E7E"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18" w:type="dxa"/>
            <w:vMerge/>
            <w:tcBorders>
              <w:top w:val="nil"/>
              <w:left w:val="single" w:sz="4" w:space="0" w:color="auto"/>
              <w:bottom w:val="single" w:sz="4" w:space="0" w:color="auto"/>
              <w:right w:val="single" w:sz="4" w:space="0" w:color="auto"/>
            </w:tcBorders>
            <w:vAlign w:val="center"/>
            <w:hideMark/>
          </w:tcPr>
          <w:p w14:paraId="182C7C85"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8" w:type="dxa"/>
            <w:vMerge/>
            <w:tcBorders>
              <w:top w:val="nil"/>
              <w:left w:val="single" w:sz="4" w:space="0" w:color="auto"/>
              <w:bottom w:val="single" w:sz="4" w:space="0" w:color="auto"/>
              <w:right w:val="single" w:sz="4" w:space="0" w:color="auto"/>
            </w:tcBorders>
            <w:vAlign w:val="center"/>
            <w:hideMark/>
          </w:tcPr>
          <w:p w14:paraId="7DB1BE7F"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5" w:type="dxa"/>
            <w:vMerge/>
            <w:tcBorders>
              <w:top w:val="nil"/>
              <w:left w:val="single" w:sz="4" w:space="0" w:color="auto"/>
              <w:bottom w:val="single" w:sz="4" w:space="0" w:color="auto"/>
              <w:right w:val="single" w:sz="4" w:space="0" w:color="auto"/>
            </w:tcBorders>
            <w:vAlign w:val="center"/>
            <w:hideMark/>
          </w:tcPr>
          <w:p w14:paraId="26E61995"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36" w:type="dxa"/>
            <w:tcBorders>
              <w:top w:val="nil"/>
              <w:left w:val="nil"/>
              <w:bottom w:val="single" w:sz="4" w:space="0" w:color="auto"/>
              <w:right w:val="single" w:sz="4" w:space="0" w:color="auto"/>
            </w:tcBorders>
            <w:shd w:val="clear" w:color="auto" w:fill="auto"/>
            <w:noWrap/>
            <w:vAlign w:val="center"/>
            <w:hideMark/>
          </w:tcPr>
          <w:p w14:paraId="64701DF4"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Receiver blocked</w:t>
            </w:r>
          </w:p>
        </w:tc>
        <w:tc>
          <w:tcPr>
            <w:tcW w:w="771" w:type="dxa"/>
            <w:tcBorders>
              <w:top w:val="nil"/>
              <w:left w:val="nil"/>
              <w:bottom w:val="single" w:sz="4" w:space="0" w:color="auto"/>
              <w:right w:val="single" w:sz="4" w:space="0" w:color="auto"/>
            </w:tcBorders>
            <w:shd w:val="clear" w:color="auto" w:fill="auto"/>
            <w:noWrap/>
            <w:vAlign w:val="center"/>
            <w:hideMark/>
          </w:tcPr>
          <w:p w14:paraId="3C39F5A7"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7.32</w:t>
            </w:r>
          </w:p>
        </w:tc>
        <w:tc>
          <w:tcPr>
            <w:tcW w:w="805"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691E39C"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79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5D58646"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38.77</w:t>
            </w:r>
          </w:p>
        </w:tc>
        <w:tc>
          <w:tcPr>
            <w:tcW w:w="33" w:type="dxa"/>
            <w:vAlign w:val="center"/>
            <w:hideMark/>
          </w:tcPr>
          <w:p w14:paraId="1B8D2AE3"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r>
      <w:tr w:rsidR="00DA090F" w:rsidRPr="002F682C" w14:paraId="27F218A6" w14:textId="77777777" w:rsidTr="002F682C">
        <w:trPr>
          <w:trHeight w:val="767"/>
        </w:trPr>
        <w:tc>
          <w:tcPr>
            <w:tcW w:w="794" w:type="dxa"/>
            <w:tcBorders>
              <w:top w:val="nil"/>
              <w:left w:val="single" w:sz="4" w:space="0" w:color="auto"/>
              <w:bottom w:val="single" w:sz="4" w:space="0" w:color="auto"/>
              <w:right w:val="single" w:sz="4" w:space="0" w:color="auto"/>
            </w:tcBorders>
            <w:shd w:val="clear" w:color="auto" w:fill="auto"/>
            <w:vAlign w:val="center"/>
            <w:hideMark/>
          </w:tcPr>
          <w:p w14:paraId="1A032609"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886" w:type="dxa"/>
            <w:vMerge/>
            <w:tcBorders>
              <w:top w:val="nil"/>
              <w:left w:val="single" w:sz="4" w:space="0" w:color="auto"/>
              <w:bottom w:val="single" w:sz="4" w:space="0" w:color="000000"/>
              <w:right w:val="single" w:sz="4" w:space="0" w:color="auto"/>
            </w:tcBorders>
            <w:vAlign w:val="center"/>
            <w:hideMark/>
          </w:tcPr>
          <w:p w14:paraId="05D6EDA2"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18" w:type="dxa"/>
            <w:vMerge w:val="restart"/>
            <w:tcBorders>
              <w:top w:val="nil"/>
              <w:left w:val="single" w:sz="4" w:space="0" w:color="auto"/>
              <w:bottom w:val="single" w:sz="4" w:space="0" w:color="auto"/>
              <w:right w:val="single" w:sz="4" w:space="0" w:color="auto"/>
            </w:tcBorders>
            <w:shd w:val="clear" w:color="auto" w:fill="auto"/>
            <w:vAlign w:val="center"/>
            <w:hideMark/>
          </w:tcPr>
          <w:p w14:paraId="21670278"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DL</w:t>
            </w:r>
          </w:p>
        </w:tc>
        <w:tc>
          <w:tcPr>
            <w:tcW w:w="1113" w:type="dxa"/>
            <w:tcBorders>
              <w:top w:val="nil"/>
              <w:left w:val="nil"/>
              <w:bottom w:val="single" w:sz="4" w:space="0" w:color="auto"/>
              <w:right w:val="single" w:sz="4" w:space="0" w:color="auto"/>
            </w:tcBorders>
            <w:shd w:val="clear" w:color="auto" w:fill="auto"/>
            <w:vAlign w:val="center"/>
            <w:hideMark/>
          </w:tcPr>
          <w:p w14:paraId="07D68C4A"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18" w:type="dxa"/>
            <w:vMerge w:val="restart"/>
            <w:tcBorders>
              <w:top w:val="nil"/>
              <w:left w:val="single" w:sz="4" w:space="0" w:color="auto"/>
              <w:bottom w:val="single" w:sz="4" w:space="0" w:color="auto"/>
              <w:right w:val="single" w:sz="4" w:space="0" w:color="auto"/>
            </w:tcBorders>
            <w:shd w:val="clear" w:color="auto" w:fill="auto"/>
            <w:vAlign w:val="center"/>
            <w:hideMark/>
          </w:tcPr>
          <w:p w14:paraId="4CD0AC6D"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53 dBm</w:t>
            </w:r>
          </w:p>
        </w:tc>
        <w:tc>
          <w:tcPr>
            <w:tcW w:w="848" w:type="dxa"/>
            <w:vMerge/>
            <w:tcBorders>
              <w:top w:val="nil"/>
              <w:left w:val="single" w:sz="4" w:space="0" w:color="auto"/>
              <w:bottom w:val="single" w:sz="4" w:space="0" w:color="auto"/>
              <w:right w:val="single" w:sz="4" w:space="0" w:color="auto"/>
            </w:tcBorders>
            <w:vAlign w:val="center"/>
            <w:hideMark/>
          </w:tcPr>
          <w:p w14:paraId="7C73BE9D"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5" w:type="dxa"/>
            <w:vMerge/>
            <w:tcBorders>
              <w:top w:val="nil"/>
              <w:left w:val="single" w:sz="4" w:space="0" w:color="auto"/>
              <w:bottom w:val="single" w:sz="4" w:space="0" w:color="auto"/>
              <w:right w:val="single" w:sz="4" w:space="0" w:color="auto"/>
            </w:tcBorders>
            <w:vAlign w:val="center"/>
            <w:hideMark/>
          </w:tcPr>
          <w:p w14:paraId="7F649840"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36" w:type="dxa"/>
            <w:tcBorders>
              <w:top w:val="nil"/>
              <w:left w:val="nil"/>
              <w:bottom w:val="single" w:sz="4" w:space="0" w:color="auto"/>
              <w:right w:val="single" w:sz="4" w:space="0" w:color="auto"/>
            </w:tcBorders>
            <w:shd w:val="clear" w:color="auto" w:fill="auto"/>
            <w:noWrap/>
            <w:vAlign w:val="center"/>
            <w:hideMark/>
          </w:tcPr>
          <w:p w14:paraId="5131BBF8"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0.67</w:t>
            </w:r>
          </w:p>
        </w:tc>
        <w:tc>
          <w:tcPr>
            <w:tcW w:w="771" w:type="dxa"/>
            <w:tcBorders>
              <w:top w:val="nil"/>
              <w:left w:val="nil"/>
              <w:bottom w:val="single" w:sz="4" w:space="0" w:color="auto"/>
              <w:right w:val="single" w:sz="4" w:space="0" w:color="auto"/>
            </w:tcBorders>
            <w:shd w:val="clear" w:color="auto" w:fill="auto"/>
            <w:noWrap/>
            <w:vAlign w:val="center"/>
            <w:hideMark/>
          </w:tcPr>
          <w:p w14:paraId="7C050882"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0.41</w:t>
            </w:r>
          </w:p>
        </w:tc>
        <w:tc>
          <w:tcPr>
            <w:tcW w:w="805"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8246740"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12.08</w:t>
            </w:r>
          </w:p>
        </w:tc>
        <w:tc>
          <w:tcPr>
            <w:tcW w:w="798" w:type="dxa"/>
            <w:tcBorders>
              <w:top w:val="nil"/>
              <w:left w:val="nil"/>
              <w:bottom w:val="single" w:sz="4" w:space="0" w:color="auto"/>
              <w:right w:val="single" w:sz="4" w:space="0" w:color="auto"/>
            </w:tcBorders>
            <w:shd w:val="clear" w:color="auto" w:fill="auto"/>
            <w:noWrap/>
            <w:vAlign w:val="center"/>
            <w:hideMark/>
          </w:tcPr>
          <w:p w14:paraId="5799DE30"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1.61</w:t>
            </w:r>
          </w:p>
        </w:tc>
        <w:tc>
          <w:tcPr>
            <w:tcW w:w="33" w:type="dxa"/>
            <w:vAlign w:val="center"/>
            <w:hideMark/>
          </w:tcPr>
          <w:p w14:paraId="44EDAC68"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r>
      <w:tr w:rsidR="00DA090F" w:rsidRPr="002F682C" w14:paraId="1EF647EF" w14:textId="77777777" w:rsidTr="002F682C">
        <w:trPr>
          <w:trHeight w:val="767"/>
        </w:trPr>
        <w:tc>
          <w:tcPr>
            <w:tcW w:w="794" w:type="dxa"/>
            <w:tcBorders>
              <w:top w:val="nil"/>
              <w:left w:val="single" w:sz="4" w:space="0" w:color="auto"/>
              <w:bottom w:val="single" w:sz="4" w:space="0" w:color="auto"/>
              <w:right w:val="single" w:sz="4" w:space="0" w:color="auto"/>
            </w:tcBorders>
            <w:shd w:val="clear" w:color="auto" w:fill="auto"/>
            <w:vAlign w:val="center"/>
            <w:hideMark/>
          </w:tcPr>
          <w:p w14:paraId="176E45BB"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886" w:type="dxa"/>
            <w:vMerge/>
            <w:tcBorders>
              <w:top w:val="nil"/>
              <w:left w:val="single" w:sz="4" w:space="0" w:color="auto"/>
              <w:bottom w:val="single" w:sz="4" w:space="0" w:color="000000"/>
              <w:right w:val="single" w:sz="4" w:space="0" w:color="auto"/>
            </w:tcBorders>
            <w:vAlign w:val="center"/>
            <w:hideMark/>
          </w:tcPr>
          <w:p w14:paraId="7C75CCCE"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18" w:type="dxa"/>
            <w:vMerge/>
            <w:tcBorders>
              <w:top w:val="nil"/>
              <w:left w:val="single" w:sz="4" w:space="0" w:color="auto"/>
              <w:bottom w:val="single" w:sz="4" w:space="0" w:color="auto"/>
              <w:right w:val="single" w:sz="4" w:space="0" w:color="auto"/>
            </w:tcBorders>
            <w:vAlign w:val="center"/>
            <w:hideMark/>
          </w:tcPr>
          <w:p w14:paraId="4E3EEBAD"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13" w:type="dxa"/>
            <w:tcBorders>
              <w:top w:val="nil"/>
              <w:left w:val="nil"/>
              <w:bottom w:val="single" w:sz="4" w:space="0" w:color="auto"/>
              <w:right w:val="single" w:sz="4" w:space="0" w:color="auto"/>
            </w:tcBorders>
            <w:shd w:val="clear" w:color="auto" w:fill="auto"/>
            <w:vAlign w:val="center"/>
            <w:hideMark/>
          </w:tcPr>
          <w:p w14:paraId="5EE43AF7"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18" w:type="dxa"/>
            <w:vMerge/>
            <w:tcBorders>
              <w:top w:val="nil"/>
              <w:left w:val="single" w:sz="4" w:space="0" w:color="auto"/>
              <w:bottom w:val="single" w:sz="4" w:space="0" w:color="auto"/>
              <w:right w:val="single" w:sz="4" w:space="0" w:color="auto"/>
            </w:tcBorders>
            <w:vAlign w:val="center"/>
            <w:hideMark/>
          </w:tcPr>
          <w:p w14:paraId="74B6FDE1"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8" w:type="dxa"/>
            <w:vMerge/>
            <w:tcBorders>
              <w:top w:val="nil"/>
              <w:left w:val="single" w:sz="4" w:space="0" w:color="auto"/>
              <w:bottom w:val="single" w:sz="4" w:space="0" w:color="auto"/>
              <w:right w:val="single" w:sz="4" w:space="0" w:color="auto"/>
            </w:tcBorders>
            <w:vAlign w:val="center"/>
            <w:hideMark/>
          </w:tcPr>
          <w:p w14:paraId="2B368D03"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5" w:type="dxa"/>
            <w:vMerge/>
            <w:tcBorders>
              <w:top w:val="nil"/>
              <w:left w:val="single" w:sz="4" w:space="0" w:color="auto"/>
              <w:bottom w:val="single" w:sz="4" w:space="0" w:color="auto"/>
              <w:right w:val="single" w:sz="4" w:space="0" w:color="auto"/>
            </w:tcBorders>
            <w:vAlign w:val="center"/>
            <w:hideMark/>
          </w:tcPr>
          <w:p w14:paraId="66CC71B2"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36" w:type="dxa"/>
            <w:tcBorders>
              <w:top w:val="nil"/>
              <w:left w:val="nil"/>
              <w:bottom w:val="single" w:sz="4" w:space="0" w:color="auto"/>
              <w:right w:val="single" w:sz="4" w:space="0" w:color="auto"/>
            </w:tcBorders>
            <w:shd w:val="clear" w:color="auto" w:fill="auto"/>
            <w:noWrap/>
            <w:vAlign w:val="center"/>
            <w:hideMark/>
          </w:tcPr>
          <w:p w14:paraId="4C32B00D"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-0.18</w:t>
            </w:r>
          </w:p>
        </w:tc>
        <w:tc>
          <w:tcPr>
            <w:tcW w:w="771" w:type="dxa"/>
            <w:tcBorders>
              <w:top w:val="nil"/>
              <w:left w:val="nil"/>
              <w:bottom w:val="single" w:sz="4" w:space="0" w:color="auto"/>
              <w:right w:val="single" w:sz="4" w:space="0" w:color="auto"/>
            </w:tcBorders>
            <w:shd w:val="clear" w:color="auto" w:fill="auto"/>
            <w:noWrap/>
            <w:vAlign w:val="center"/>
            <w:hideMark/>
          </w:tcPr>
          <w:p w14:paraId="4F98BC43"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0.17</w:t>
            </w:r>
          </w:p>
        </w:tc>
        <w:tc>
          <w:tcPr>
            <w:tcW w:w="805" w:type="dxa"/>
            <w:tcBorders>
              <w:top w:val="nil"/>
              <w:left w:val="nil"/>
              <w:bottom w:val="single" w:sz="4" w:space="0" w:color="auto"/>
              <w:right w:val="single" w:sz="4" w:space="0" w:color="auto"/>
            </w:tcBorders>
            <w:shd w:val="clear" w:color="auto" w:fill="auto"/>
            <w:noWrap/>
            <w:vAlign w:val="center"/>
            <w:hideMark/>
          </w:tcPr>
          <w:p w14:paraId="317B3281"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-3.46</w:t>
            </w:r>
          </w:p>
        </w:tc>
        <w:tc>
          <w:tcPr>
            <w:tcW w:w="798" w:type="dxa"/>
            <w:tcBorders>
              <w:top w:val="nil"/>
              <w:left w:val="nil"/>
              <w:bottom w:val="single" w:sz="4" w:space="0" w:color="auto"/>
              <w:right w:val="single" w:sz="4" w:space="0" w:color="auto"/>
            </w:tcBorders>
            <w:shd w:val="clear" w:color="auto" w:fill="auto"/>
            <w:noWrap/>
            <w:vAlign w:val="center"/>
            <w:hideMark/>
          </w:tcPr>
          <w:p w14:paraId="5E4D425F"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0.33</w:t>
            </w:r>
          </w:p>
        </w:tc>
        <w:tc>
          <w:tcPr>
            <w:tcW w:w="33" w:type="dxa"/>
            <w:vAlign w:val="center"/>
            <w:hideMark/>
          </w:tcPr>
          <w:p w14:paraId="54F8299A"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r>
      <w:tr w:rsidR="00DA090F" w:rsidRPr="002F682C" w14:paraId="7CC66D7A" w14:textId="77777777" w:rsidTr="002F682C">
        <w:trPr>
          <w:trHeight w:val="767"/>
        </w:trPr>
        <w:tc>
          <w:tcPr>
            <w:tcW w:w="794" w:type="dxa"/>
            <w:tcBorders>
              <w:top w:val="nil"/>
              <w:left w:val="single" w:sz="4" w:space="0" w:color="auto"/>
              <w:bottom w:val="single" w:sz="4" w:space="0" w:color="auto"/>
              <w:right w:val="single" w:sz="4" w:space="0" w:color="auto"/>
            </w:tcBorders>
            <w:shd w:val="clear" w:color="auto" w:fill="auto"/>
            <w:vAlign w:val="center"/>
            <w:hideMark/>
          </w:tcPr>
          <w:p w14:paraId="50833AB1"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lastRenderedPageBreak/>
              <w:t>100%</w:t>
            </w:r>
          </w:p>
        </w:tc>
        <w:tc>
          <w:tcPr>
            <w:tcW w:w="886" w:type="dxa"/>
            <w:vMerge/>
            <w:tcBorders>
              <w:top w:val="nil"/>
              <w:left w:val="single" w:sz="4" w:space="0" w:color="auto"/>
              <w:bottom w:val="single" w:sz="4" w:space="0" w:color="000000"/>
              <w:right w:val="single" w:sz="4" w:space="0" w:color="auto"/>
            </w:tcBorders>
            <w:vAlign w:val="center"/>
            <w:hideMark/>
          </w:tcPr>
          <w:p w14:paraId="556F71B0"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18" w:type="dxa"/>
            <w:vMerge w:val="restart"/>
            <w:tcBorders>
              <w:top w:val="nil"/>
              <w:left w:val="single" w:sz="4" w:space="0" w:color="auto"/>
              <w:bottom w:val="single" w:sz="4" w:space="0" w:color="auto"/>
              <w:right w:val="single" w:sz="4" w:space="0" w:color="auto"/>
            </w:tcBorders>
            <w:shd w:val="clear" w:color="auto" w:fill="auto"/>
            <w:vAlign w:val="center"/>
            <w:hideMark/>
          </w:tcPr>
          <w:p w14:paraId="2F696187"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UL</w:t>
            </w:r>
          </w:p>
        </w:tc>
        <w:tc>
          <w:tcPr>
            <w:tcW w:w="1113" w:type="dxa"/>
            <w:tcBorders>
              <w:top w:val="nil"/>
              <w:left w:val="nil"/>
              <w:bottom w:val="single" w:sz="4" w:space="0" w:color="auto"/>
              <w:right w:val="single" w:sz="4" w:space="0" w:color="auto"/>
            </w:tcBorders>
            <w:shd w:val="clear" w:color="auto" w:fill="auto"/>
            <w:vAlign w:val="center"/>
            <w:hideMark/>
          </w:tcPr>
          <w:p w14:paraId="78CF43CB"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18" w:type="dxa"/>
            <w:vMerge/>
            <w:tcBorders>
              <w:top w:val="nil"/>
              <w:left w:val="single" w:sz="4" w:space="0" w:color="auto"/>
              <w:bottom w:val="single" w:sz="4" w:space="0" w:color="auto"/>
              <w:right w:val="single" w:sz="4" w:space="0" w:color="auto"/>
            </w:tcBorders>
            <w:vAlign w:val="center"/>
            <w:hideMark/>
          </w:tcPr>
          <w:p w14:paraId="4268B516"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8" w:type="dxa"/>
            <w:vMerge/>
            <w:tcBorders>
              <w:top w:val="nil"/>
              <w:left w:val="single" w:sz="4" w:space="0" w:color="auto"/>
              <w:bottom w:val="single" w:sz="4" w:space="0" w:color="auto"/>
              <w:right w:val="single" w:sz="4" w:space="0" w:color="auto"/>
            </w:tcBorders>
            <w:vAlign w:val="center"/>
            <w:hideMark/>
          </w:tcPr>
          <w:p w14:paraId="45F7EE06"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5" w:type="dxa"/>
            <w:vMerge/>
            <w:tcBorders>
              <w:top w:val="nil"/>
              <w:left w:val="single" w:sz="4" w:space="0" w:color="auto"/>
              <w:bottom w:val="single" w:sz="4" w:space="0" w:color="auto"/>
              <w:right w:val="single" w:sz="4" w:space="0" w:color="auto"/>
            </w:tcBorders>
            <w:vAlign w:val="center"/>
            <w:hideMark/>
          </w:tcPr>
          <w:p w14:paraId="53733EA2"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36" w:type="dxa"/>
            <w:tcBorders>
              <w:top w:val="nil"/>
              <w:left w:val="nil"/>
              <w:bottom w:val="single" w:sz="4" w:space="0" w:color="auto"/>
              <w:right w:val="single" w:sz="4" w:space="0" w:color="auto"/>
            </w:tcBorders>
            <w:shd w:val="clear" w:color="auto" w:fill="auto"/>
            <w:noWrap/>
            <w:vAlign w:val="center"/>
            <w:hideMark/>
          </w:tcPr>
          <w:p w14:paraId="0736C09F"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Receiver blocked</w:t>
            </w:r>
          </w:p>
        </w:tc>
        <w:tc>
          <w:tcPr>
            <w:tcW w:w="771" w:type="dxa"/>
            <w:tcBorders>
              <w:top w:val="nil"/>
              <w:left w:val="nil"/>
              <w:bottom w:val="single" w:sz="4" w:space="0" w:color="auto"/>
              <w:right w:val="single" w:sz="4" w:space="0" w:color="auto"/>
            </w:tcBorders>
            <w:shd w:val="clear" w:color="auto" w:fill="auto"/>
            <w:noWrap/>
            <w:vAlign w:val="center"/>
            <w:hideMark/>
          </w:tcPr>
          <w:p w14:paraId="5A883939"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3.08</w:t>
            </w:r>
          </w:p>
        </w:tc>
        <w:tc>
          <w:tcPr>
            <w:tcW w:w="805"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7083904"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79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1802B37"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16.63</w:t>
            </w:r>
          </w:p>
        </w:tc>
        <w:tc>
          <w:tcPr>
            <w:tcW w:w="33" w:type="dxa"/>
            <w:vAlign w:val="center"/>
            <w:hideMark/>
          </w:tcPr>
          <w:p w14:paraId="3D06B1E0"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r>
      <w:tr w:rsidR="00DA090F" w:rsidRPr="002F682C" w14:paraId="7E8D4844" w14:textId="77777777" w:rsidTr="002F682C">
        <w:trPr>
          <w:trHeight w:val="767"/>
        </w:trPr>
        <w:tc>
          <w:tcPr>
            <w:tcW w:w="794" w:type="dxa"/>
            <w:tcBorders>
              <w:top w:val="nil"/>
              <w:left w:val="single" w:sz="4" w:space="0" w:color="auto"/>
              <w:bottom w:val="single" w:sz="4" w:space="0" w:color="auto"/>
              <w:right w:val="single" w:sz="4" w:space="0" w:color="auto"/>
            </w:tcBorders>
            <w:shd w:val="clear" w:color="auto" w:fill="auto"/>
            <w:vAlign w:val="center"/>
            <w:hideMark/>
          </w:tcPr>
          <w:p w14:paraId="4799D4F9"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886" w:type="dxa"/>
            <w:vMerge/>
            <w:tcBorders>
              <w:top w:val="nil"/>
              <w:left w:val="single" w:sz="4" w:space="0" w:color="auto"/>
              <w:bottom w:val="single" w:sz="4" w:space="0" w:color="000000"/>
              <w:right w:val="single" w:sz="4" w:space="0" w:color="auto"/>
            </w:tcBorders>
            <w:vAlign w:val="center"/>
            <w:hideMark/>
          </w:tcPr>
          <w:p w14:paraId="738C3051"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18" w:type="dxa"/>
            <w:vMerge/>
            <w:tcBorders>
              <w:top w:val="nil"/>
              <w:left w:val="single" w:sz="4" w:space="0" w:color="auto"/>
              <w:bottom w:val="single" w:sz="4" w:space="0" w:color="auto"/>
              <w:right w:val="single" w:sz="4" w:space="0" w:color="auto"/>
            </w:tcBorders>
            <w:vAlign w:val="center"/>
            <w:hideMark/>
          </w:tcPr>
          <w:p w14:paraId="642687CA"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13" w:type="dxa"/>
            <w:tcBorders>
              <w:top w:val="nil"/>
              <w:left w:val="nil"/>
              <w:bottom w:val="single" w:sz="4" w:space="0" w:color="auto"/>
              <w:right w:val="single" w:sz="4" w:space="0" w:color="auto"/>
            </w:tcBorders>
            <w:shd w:val="clear" w:color="auto" w:fill="auto"/>
            <w:vAlign w:val="center"/>
            <w:hideMark/>
          </w:tcPr>
          <w:p w14:paraId="35342DAB" w14:textId="77777777" w:rsidR="002F682C" w:rsidRPr="00B334F7" w:rsidRDefault="002F682C" w:rsidP="002F682C">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18" w:type="dxa"/>
            <w:vMerge/>
            <w:tcBorders>
              <w:top w:val="nil"/>
              <w:left w:val="single" w:sz="4" w:space="0" w:color="auto"/>
              <w:bottom w:val="single" w:sz="4" w:space="0" w:color="auto"/>
              <w:right w:val="single" w:sz="4" w:space="0" w:color="auto"/>
            </w:tcBorders>
            <w:vAlign w:val="center"/>
            <w:hideMark/>
          </w:tcPr>
          <w:p w14:paraId="2DC8D86E"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8" w:type="dxa"/>
            <w:vMerge/>
            <w:tcBorders>
              <w:top w:val="nil"/>
              <w:left w:val="single" w:sz="4" w:space="0" w:color="auto"/>
              <w:bottom w:val="single" w:sz="4" w:space="0" w:color="auto"/>
              <w:right w:val="single" w:sz="4" w:space="0" w:color="auto"/>
            </w:tcBorders>
            <w:vAlign w:val="center"/>
            <w:hideMark/>
          </w:tcPr>
          <w:p w14:paraId="0D23CF9A"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5" w:type="dxa"/>
            <w:vMerge/>
            <w:tcBorders>
              <w:top w:val="nil"/>
              <w:left w:val="single" w:sz="4" w:space="0" w:color="auto"/>
              <w:bottom w:val="single" w:sz="4" w:space="0" w:color="auto"/>
              <w:right w:val="single" w:sz="4" w:space="0" w:color="auto"/>
            </w:tcBorders>
            <w:vAlign w:val="center"/>
            <w:hideMark/>
          </w:tcPr>
          <w:p w14:paraId="31E0000B"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36" w:type="dxa"/>
            <w:tcBorders>
              <w:top w:val="nil"/>
              <w:left w:val="nil"/>
              <w:bottom w:val="single" w:sz="4" w:space="0" w:color="auto"/>
              <w:right w:val="single" w:sz="4" w:space="0" w:color="auto"/>
            </w:tcBorders>
            <w:shd w:val="clear" w:color="auto" w:fill="auto"/>
            <w:noWrap/>
            <w:vAlign w:val="center"/>
            <w:hideMark/>
          </w:tcPr>
          <w:p w14:paraId="796E6934"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Receiver blocked</w:t>
            </w:r>
          </w:p>
        </w:tc>
        <w:tc>
          <w:tcPr>
            <w:tcW w:w="771" w:type="dxa"/>
            <w:tcBorders>
              <w:top w:val="nil"/>
              <w:left w:val="nil"/>
              <w:bottom w:val="single" w:sz="4" w:space="0" w:color="auto"/>
              <w:right w:val="single" w:sz="4" w:space="0" w:color="auto"/>
            </w:tcBorders>
            <w:shd w:val="clear" w:color="auto" w:fill="auto"/>
            <w:noWrap/>
            <w:vAlign w:val="center"/>
            <w:hideMark/>
          </w:tcPr>
          <w:p w14:paraId="1BC6ED79"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6.53</w:t>
            </w:r>
          </w:p>
        </w:tc>
        <w:tc>
          <w:tcPr>
            <w:tcW w:w="805"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990FEEB"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79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A904D8C" w14:textId="77777777" w:rsidR="002F682C" w:rsidRPr="00B334F7" w:rsidRDefault="002F682C" w:rsidP="002F682C">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35.36</w:t>
            </w:r>
          </w:p>
        </w:tc>
        <w:tc>
          <w:tcPr>
            <w:tcW w:w="33" w:type="dxa"/>
            <w:vAlign w:val="center"/>
            <w:hideMark/>
          </w:tcPr>
          <w:p w14:paraId="5CFBB4F8" w14:textId="77777777" w:rsidR="002F682C" w:rsidRPr="00B334F7" w:rsidRDefault="002F682C" w:rsidP="002F682C">
            <w:pPr>
              <w:overflowPunct/>
              <w:autoSpaceDE/>
              <w:autoSpaceDN/>
              <w:adjustRightInd/>
              <w:spacing w:after="0"/>
              <w:textAlignment w:val="auto"/>
              <w:rPr>
                <w:rFonts w:ascii="Times New Roman" w:eastAsia="Times New Roman" w:hAnsi="Times New Roman" w:cs="Times New Roman"/>
                <w:sz w:val="16"/>
                <w:szCs w:val="16"/>
                <w:lang w:val="en-US"/>
              </w:rPr>
            </w:pPr>
          </w:p>
        </w:tc>
      </w:tr>
    </w:tbl>
    <w:p w14:paraId="48D28D59" w14:textId="77777777" w:rsidR="007F1150" w:rsidRDefault="007F1150" w:rsidP="007F1150">
      <w:pPr>
        <w:rPr>
          <w:lang w:val="en-US"/>
        </w:rPr>
      </w:pPr>
    </w:p>
    <w:p w14:paraId="50855863" w14:textId="77777777" w:rsidR="007F1150" w:rsidRDefault="007F1150" w:rsidP="007F1150">
      <w:pPr>
        <w:rPr>
          <w:lang w:val="en-US"/>
        </w:rPr>
      </w:pPr>
      <w:r>
        <w:rPr>
          <w:lang w:val="en-US"/>
        </w:rPr>
        <w:t>Based on the results above, the following recommendations are proposed for this scenario and case:</w:t>
      </w:r>
    </w:p>
    <w:p w14:paraId="269CABA1" w14:textId="0A16349E" w:rsidR="007F1150" w:rsidRPr="006B4412" w:rsidRDefault="007F1150" w:rsidP="007F1150">
      <w:pPr>
        <w:rPr>
          <w:b/>
          <w:bCs/>
        </w:rPr>
      </w:pPr>
      <w:r w:rsidRPr="009D3E26">
        <w:rPr>
          <w:b/>
          <w:bCs/>
          <w:lang w:val="en-US"/>
        </w:rPr>
        <w:t xml:space="preserve">Proposal </w:t>
      </w:r>
      <w:r w:rsidR="00BB105F">
        <w:rPr>
          <w:b/>
          <w:bCs/>
          <w:lang w:val="en-US"/>
        </w:rPr>
        <w:t>1</w:t>
      </w:r>
      <w:r w:rsidR="005C792F">
        <w:rPr>
          <w:b/>
          <w:bCs/>
          <w:lang w:val="en-US"/>
        </w:rPr>
        <w:t>4</w:t>
      </w:r>
      <w:r w:rsidRPr="009D3E26">
        <w:rPr>
          <w:b/>
          <w:bCs/>
          <w:lang w:val="en-US"/>
        </w:rPr>
        <w:t xml:space="preserve">: </w:t>
      </w:r>
      <w:r w:rsidRPr="006B4412">
        <w:rPr>
          <w:b/>
          <w:bCs/>
        </w:rPr>
        <w:t xml:space="preserve">The </w:t>
      </w:r>
      <w:r>
        <w:rPr>
          <w:b/>
          <w:bCs/>
        </w:rPr>
        <w:t xml:space="preserve">SBFD DL </w:t>
      </w:r>
      <w:r w:rsidRPr="006B4412">
        <w:rPr>
          <w:b/>
          <w:bCs/>
        </w:rPr>
        <w:t xml:space="preserve">performance degradation for </w:t>
      </w:r>
      <w:r>
        <w:rPr>
          <w:b/>
          <w:bCs/>
        </w:rPr>
        <w:t xml:space="preserve">Urban </w:t>
      </w:r>
      <w:r w:rsidR="00B43CF4">
        <w:rPr>
          <w:b/>
          <w:bCs/>
        </w:rPr>
        <w:t>Hotspot</w:t>
      </w:r>
      <w:r w:rsidRPr="006B4412">
        <w:rPr>
          <w:b/>
          <w:bCs/>
        </w:rPr>
        <w:t xml:space="preserve"> Case </w:t>
      </w:r>
      <w:r>
        <w:rPr>
          <w:b/>
          <w:bCs/>
        </w:rPr>
        <w:t>3</w:t>
      </w:r>
      <w:r w:rsidRPr="006B4412">
        <w:rPr>
          <w:b/>
          <w:bCs/>
        </w:rPr>
        <w:t xml:space="preserve"> is acceptable when </w:t>
      </w:r>
      <w:r>
        <w:rPr>
          <w:b/>
          <w:bCs/>
        </w:rPr>
        <w:t>TDD DL is adopted in the aggressor network.</w:t>
      </w:r>
    </w:p>
    <w:p w14:paraId="360F8604" w14:textId="10ED4374" w:rsidR="00BE06AE" w:rsidRPr="00BE06AE" w:rsidRDefault="007F1150" w:rsidP="00B334F7">
      <w:pPr>
        <w:rPr>
          <w:lang w:val="en-US"/>
        </w:rPr>
      </w:pPr>
      <w:r w:rsidRPr="009D3E26">
        <w:rPr>
          <w:b/>
          <w:bCs/>
          <w:lang w:val="en-US"/>
        </w:rPr>
        <w:t xml:space="preserve">Proposal </w:t>
      </w:r>
      <w:r w:rsidR="00BB105F">
        <w:rPr>
          <w:b/>
          <w:bCs/>
          <w:lang w:val="en-US"/>
        </w:rPr>
        <w:t>1</w:t>
      </w:r>
      <w:r w:rsidR="005C792F">
        <w:rPr>
          <w:b/>
          <w:bCs/>
          <w:lang w:val="en-US"/>
        </w:rPr>
        <w:t>5</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w:t>
      </w:r>
      <w:r>
        <w:rPr>
          <w:b/>
          <w:bCs/>
        </w:rPr>
        <w:t xml:space="preserve">Urban </w:t>
      </w:r>
      <w:r w:rsidR="00B43CF4">
        <w:rPr>
          <w:b/>
          <w:bCs/>
        </w:rPr>
        <w:t>Hotspot</w:t>
      </w:r>
      <w:r w:rsidR="00B43CF4" w:rsidRPr="006B4412">
        <w:rPr>
          <w:b/>
          <w:bCs/>
        </w:rPr>
        <w:t xml:space="preserve"> </w:t>
      </w:r>
      <w:r w:rsidRPr="006B4412">
        <w:rPr>
          <w:b/>
          <w:bCs/>
        </w:rPr>
        <w:t xml:space="preserve">Case </w:t>
      </w:r>
      <w:r>
        <w:rPr>
          <w:b/>
          <w:bCs/>
        </w:rPr>
        <w:t>3</w:t>
      </w:r>
      <w:r w:rsidRPr="006B4412">
        <w:rPr>
          <w:b/>
          <w:bCs/>
        </w:rPr>
        <w:t xml:space="preserve"> is </w:t>
      </w:r>
      <w:r>
        <w:rPr>
          <w:b/>
          <w:bCs/>
        </w:rPr>
        <w:t xml:space="preserve">not </w:t>
      </w:r>
      <w:r w:rsidRPr="006B4412">
        <w:rPr>
          <w:b/>
          <w:bCs/>
        </w:rPr>
        <w:t xml:space="preserve">acceptable when </w:t>
      </w:r>
      <w:r>
        <w:rPr>
          <w:b/>
          <w:bCs/>
        </w:rPr>
        <w:t>TDD DL is adopted in the aggressor network.</w:t>
      </w:r>
    </w:p>
    <w:p w14:paraId="6E5B60FE" w14:textId="5F24EE09" w:rsidR="00990225" w:rsidRDefault="00990225" w:rsidP="00990225">
      <w:pPr>
        <w:pStyle w:val="Heading4"/>
        <w:ind w:left="0" w:firstLine="0"/>
        <w:rPr>
          <w:lang w:val="en-US"/>
        </w:rPr>
      </w:pPr>
      <w:r w:rsidRPr="00B334F7">
        <w:rPr>
          <w:lang w:val="en-US"/>
        </w:rPr>
        <w:t>3.2.3 Scenario 4: FR1 UMa-to-</w:t>
      </w:r>
      <w:r w:rsidR="003152E7">
        <w:rPr>
          <w:lang w:val="en-US"/>
        </w:rPr>
        <w:t>UMi</w:t>
      </w:r>
    </w:p>
    <w:p w14:paraId="5B0F6009" w14:textId="55D475CC" w:rsidR="003A3583" w:rsidRDefault="005A15DC" w:rsidP="003A3583">
      <w:pPr>
        <w:rPr>
          <w:lang w:val="en-US"/>
        </w:rPr>
      </w:pPr>
      <w:r>
        <w:rPr>
          <w:lang w:val="en-US"/>
        </w:rPr>
        <w:fldChar w:fldCharType="begin"/>
      </w:r>
      <w:r>
        <w:rPr>
          <w:lang w:val="en-US"/>
        </w:rPr>
        <w:instrText xml:space="preserve"> REF _Ref146744948 \h </w:instrText>
      </w:r>
      <w:r>
        <w:rPr>
          <w:lang w:val="en-US"/>
        </w:rPr>
      </w:r>
      <w:r>
        <w:rPr>
          <w:lang w:val="en-US"/>
        </w:rPr>
        <w:fldChar w:fldCharType="separate"/>
      </w:r>
      <w:r>
        <w:t xml:space="preserve">Figure </w:t>
      </w:r>
      <w:r>
        <w:rPr>
          <w:noProof/>
        </w:rPr>
        <w:t>13</w:t>
      </w:r>
      <w:r>
        <w:rPr>
          <w:lang w:val="en-US"/>
        </w:rPr>
        <w:fldChar w:fldCharType="end"/>
      </w:r>
      <w:r>
        <w:rPr>
          <w:lang w:val="en-US"/>
        </w:rPr>
        <w:t xml:space="preserve"> </w:t>
      </w:r>
      <w:r w:rsidR="003A3583">
        <w:rPr>
          <w:lang w:val="en-US"/>
        </w:rPr>
        <w:t xml:space="preserve">shows the UL performance of SBFD when there is no aggressor network and when SBFD coexists with TDD DL. </w:t>
      </w:r>
      <w:r w:rsidR="00CD0247">
        <w:rPr>
          <w:lang w:val="en-US"/>
        </w:rPr>
        <w:t xml:space="preserve">At </w:t>
      </w:r>
      <w:r w:rsidR="0011108D">
        <w:rPr>
          <w:lang w:val="en-US"/>
        </w:rPr>
        <w:t>the 5</w:t>
      </w:r>
      <w:r w:rsidR="0011108D" w:rsidRPr="00B334F7">
        <w:rPr>
          <w:vertAlign w:val="superscript"/>
          <w:lang w:val="en-US"/>
        </w:rPr>
        <w:t>th</w:t>
      </w:r>
      <w:r w:rsidR="0011108D">
        <w:rPr>
          <w:lang w:val="en-US"/>
        </w:rPr>
        <w:t xml:space="preserve"> percentile</w:t>
      </w:r>
      <w:r w:rsidR="00CD0247">
        <w:rPr>
          <w:lang w:val="en-US"/>
        </w:rPr>
        <w:t xml:space="preserve">, </w:t>
      </w:r>
      <w:r w:rsidR="00532915">
        <w:rPr>
          <w:lang w:val="en-US"/>
        </w:rPr>
        <w:t xml:space="preserve">the presence of </w:t>
      </w:r>
      <w:r w:rsidR="0011108D">
        <w:rPr>
          <w:lang w:val="en-US"/>
        </w:rPr>
        <w:t>TDD DL makes the victim BS receiver to be blocked</w:t>
      </w:r>
      <w:r w:rsidR="00DF2E40">
        <w:rPr>
          <w:lang w:val="en-US"/>
        </w:rPr>
        <w:t xml:space="preserve"> for both antenna configurations and 100% grid shift. In this particular scenario, as explained previously, </w:t>
      </w:r>
      <w:r w:rsidR="00046705">
        <w:rPr>
          <w:lang w:val="en-US"/>
        </w:rPr>
        <w:t xml:space="preserve">having a grid shift of 10% results in lower performance degradation due to high BS-to-BS path-loss. </w:t>
      </w:r>
      <w:r w:rsidR="00E02F49">
        <w:rPr>
          <w:lang w:val="en-US"/>
        </w:rPr>
        <w:t>On the average, the performance degradation due to TDD DL interference is quite large and trends remain similar depending on the antenna configuration at the victim base stations.</w:t>
      </w:r>
    </w:p>
    <w:p w14:paraId="5EDAB428" w14:textId="4975730E" w:rsidR="00B65919" w:rsidRDefault="00E600E5" w:rsidP="00B65919">
      <w:pPr>
        <w:keepNext/>
        <w:jc w:val="center"/>
      </w:pPr>
      <w:r w:rsidRPr="00E600E5">
        <w:rPr>
          <w:noProof/>
        </w:rPr>
        <w:drawing>
          <wp:inline distT="0" distB="0" distL="0" distR="0" wp14:anchorId="2AEA4708" wp14:editId="69C6E961">
            <wp:extent cx="5117284" cy="3697032"/>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rotWithShape="1">
                    <a:blip r:embed="rId25">
                      <a:extLst>
                        <a:ext uri="{28A0092B-C50C-407E-A947-70E740481C1C}">
                          <a14:useLocalDpi xmlns:a14="http://schemas.microsoft.com/office/drawing/2010/main" val="0"/>
                        </a:ext>
                      </a:extLst>
                    </a:blip>
                    <a:srcRect l="6594" t="1630" r="6957" b="5713"/>
                    <a:stretch/>
                  </pic:blipFill>
                  <pic:spPr bwMode="auto">
                    <a:xfrm>
                      <a:off x="0" y="0"/>
                      <a:ext cx="5126617" cy="3703775"/>
                    </a:xfrm>
                    <a:prstGeom prst="rect">
                      <a:avLst/>
                    </a:prstGeom>
                    <a:noFill/>
                    <a:ln>
                      <a:noFill/>
                    </a:ln>
                    <a:extLst>
                      <a:ext uri="{53640926-AAD7-44D8-BBD7-CCE9431645EC}">
                        <a14:shadowObscured xmlns:a14="http://schemas.microsoft.com/office/drawing/2010/main"/>
                      </a:ext>
                    </a:extLst>
                  </pic:spPr>
                </pic:pic>
              </a:graphicData>
            </a:graphic>
          </wp:inline>
        </w:drawing>
      </w:r>
    </w:p>
    <w:p w14:paraId="77E4162D" w14:textId="7E67E764" w:rsidR="003A3583" w:rsidRDefault="00B65919" w:rsidP="00B334F7">
      <w:pPr>
        <w:pStyle w:val="Caption"/>
        <w:jc w:val="center"/>
      </w:pPr>
      <w:bookmarkStart w:id="37" w:name="_Ref146744948"/>
      <w:r>
        <w:t xml:space="preserve">Figure </w:t>
      </w:r>
      <w:r>
        <w:fldChar w:fldCharType="begin"/>
      </w:r>
      <w:r>
        <w:instrText xml:space="preserve"> SEQ Figure \* ARABIC </w:instrText>
      </w:r>
      <w:r>
        <w:fldChar w:fldCharType="separate"/>
      </w:r>
      <w:r w:rsidR="004D336C">
        <w:rPr>
          <w:noProof/>
        </w:rPr>
        <w:t>13</w:t>
      </w:r>
      <w:r>
        <w:fldChar w:fldCharType="end"/>
      </w:r>
      <w:bookmarkEnd w:id="37"/>
      <w:r>
        <w:t>. Comparison of UL SINR and UL throughput for Case 3 UMa-to-UMi scenario</w:t>
      </w:r>
    </w:p>
    <w:p w14:paraId="512E2F73" w14:textId="77777777" w:rsidR="003A3583" w:rsidRDefault="003A3583" w:rsidP="003A3583">
      <w:pPr>
        <w:rPr>
          <w:lang w:val="en-US"/>
        </w:rPr>
      </w:pPr>
    </w:p>
    <w:p w14:paraId="73DF3354" w14:textId="257F9A23" w:rsidR="003A3583" w:rsidRDefault="00B60C1A" w:rsidP="003A3583">
      <w:pPr>
        <w:rPr>
          <w:lang w:val="en-US"/>
        </w:rPr>
      </w:pPr>
      <w:r>
        <w:rPr>
          <w:lang w:val="en-US"/>
        </w:rPr>
        <w:fldChar w:fldCharType="begin"/>
      </w:r>
      <w:r>
        <w:rPr>
          <w:lang w:val="en-US"/>
        </w:rPr>
        <w:instrText xml:space="preserve"> REF _Ref146744970 \h </w:instrText>
      </w:r>
      <w:r>
        <w:rPr>
          <w:lang w:val="en-US"/>
        </w:rPr>
      </w:r>
      <w:r>
        <w:rPr>
          <w:lang w:val="en-US"/>
        </w:rPr>
        <w:fldChar w:fldCharType="separate"/>
      </w:r>
      <w:r>
        <w:t xml:space="preserve">Table </w:t>
      </w:r>
      <w:r>
        <w:rPr>
          <w:noProof/>
        </w:rPr>
        <w:t>13</w:t>
      </w:r>
      <w:r>
        <w:rPr>
          <w:lang w:val="en-US"/>
        </w:rPr>
        <w:fldChar w:fldCharType="end"/>
      </w:r>
      <w:r>
        <w:rPr>
          <w:lang w:val="en-US"/>
        </w:rPr>
        <w:t xml:space="preserve"> </w:t>
      </w:r>
      <w:r w:rsidR="003A3583">
        <w:rPr>
          <w:lang w:val="en-US"/>
        </w:rPr>
        <w:t>includes the coexistence performance of SBFD in both DL and UL when TDD DL acts as the aggressor network. The table includes different grid offsets</w:t>
      </w:r>
      <w:r w:rsidR="00F9064D">
        <w:rPr>
          <w:lang w:val="en-US"/>
        </w:rPr>
        <w:t xml:space="preserve"> and antenna configurations,</w:t>
      </w:r>
      <w:r w:rsidR="003A3583">
        <w:rPr>
          <w:lang w:val="en-US"/>
        </w:rPr>
        <w:t xml:space="preserve"> and </w:t>
      </w:r>
      <w:r w:rsidR="00F9064D">
        <w:rPr>
          <w:lang w:val="en-US"/>
        </w:rPr>
        <w:t xml:space="preserve">it </w:t>
      </w:r>
      <w:r w:rsidR="003A3583">
        <w:rPr>
          <w:lang w:val="en-US"/>
        </w:rPr>
        <w:t xml:space="preserve">highlights the throughput degradation values above 5%. </w:t>
      </w:r>
      <w:r w:rsidR="00F9064D">
        <w:rPr>
          <w:lang w:val="en-US"/>
        </w:rPr>
        <w:t xml:space="preserve">From this table, we can conclude that the SBFD DL operation is </w:t>
      </w:r>
      <w:r w:rsidR="005F400D">
        <w:rPr>
          <w:lang w:val="en-US"/>
        </w:rPr>
        <w:t>impacted to a minor extent whereas the SBFD UL operation is heavily impacted by the TDD DL transmissions on the adjacent channel.</w:t>
      </w:r>
    </w:p>
    <w:p w14:paraId="3A4C5CE8" w14:textId="47A83A25" w:rsidR="002A46BE" w:rsidRDefault="002A46BE" w:rsidP="00B334F7">
      <w:pPr>
        <w:pStyle w:val="Caption"/>
        <w:keepNext/>
      </w:pPr>
      <w:bookmarkStart w:id="38" w:name="_Ref146744970"/>
      <w:r>
        <w:lastRenderedPageBreak/>
        <w:t xml:space="preserve">Table </w:t>
      </w:r>
      <w:r>
        <w:fldChar w:fldCharType="begin"/>
      </w:r>
      <w:r>
        <w:instrText xml:space="preserve"> SEQ Table \* ARABIC </w:instrText>
      </w:r>
      <w:r>
        <w:fldChar w:fldCharType="separate"/>
      </w:r>
      <w:r w:rsidR="004D336C">
        <w:rPr>
          <w:noProof/>
        </w:rPr>
        <w:t>13</w:t>
      </w:r>
      <w:r>
        <w:fldChar w:fldCharType="end"/>
      </w:r>
      <w:bookmarkEnd w:id="38"/>
      <w:r>
        <w:t>. Performance summary for Case 3 UMa-to-UMi scenario</w:t>
      </w:r>
    </w:p>
    <w:tbl>
      <w:tblPr>
        <w:tblW w:w="10524" w:type="dxa"/>
        <w:tblLook w:val="04A0" w:firstRow="1" w:lastRow="0" w:firstColumn="1" w:lastColumn="0" w:noHBand="0" w:noVBand="1"/>
      </w:tblPr>
      <w:tblGrid>
        <w:gridCol w:w="844"/>
        <w:gridCol w:w="944"/>
        <w:gridCol w:w="871"/>
        <w:gridCol w:w="1186"/>
        <w:gridCol w:w="871"/>
        <w:gridCol w:w="903"/>
        <w:gridCol w:w="944"/>
        <w:gridCol w:w="1424"/>
        <w:gridCol w:w="830"/>
        <w:gridCol w:w="850"/>
        <w:gridCol w:w="857"/>
      </w:tblGrid>
      <w:tr w:rsidR="00A51DED" w:rsidRPr="00A51DED" w14:paraId="460438C0" w14:textId="77777777" w:rsidTr="00B334F7">
        <w:trPr>
          <w:trHeight w:val="315"/>
        </w:trPr>
        <w:tc>
          <w:tcPr>
            <w:tcW w:w="10524"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2470B2"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4: FR1 UMa-to-UMi</w:t>
            </w:r>
            <w:r w:rsidRPr="00B334F7">
              <w:rPr>
                <w:rFonts w:ascii="Times New Roman" w:eastAsia="Times New Roman" w:hAnsi="Times New Roman" w:cs="Times New Roman"/>
                <w:b/>
                <w:bCs/>
                <w:sz w:val="16"/>
                <w:szCs w:val="16"/>
                <w:lang w:val="en-US"/>
              </w:rPr>
              <w:br/>
              <w:t>Case 3: SBFD as victim with TDD DL as aggressor</w:t>
            </w:r>
          </w:p>
        </w:tc>
      </w:tr>
      <w:tr w:rsidR="00A51DED" w:rsidRPr="00A51DED" w14:paraId="1C435ADD" w14:textId="77777777" w:rsidTr="00B334F7">
        <w:trPr>
          <w:trHeight w:val="300"/>
        </w:trPr>
        <w:tc>
          <w:tcPr>
            <w:tcW w:w="844" w:type="dxa"/>
            <w:vMerge w:val="restart"/>
            <w:tcBorders>
              <w:top w:val="nil"/>
              <w:left w:val="single" w:sz="4" w:space="0" w:color="auto"/>
              <w:bottom w:val="single" w:sz="4" w:space="0" w:color="auto"/>
              <w:right w:val="single" w:sz="4" w:space="0" w:color="auto"/>
            </w:tcBorders>
            <w:shd w:val="clear" w:color="auto" w:fill="auto"/>
            <w:vAlign w:val="center"/>
            <w:hideMark/>
          </w:tcPr>
          <w:p w14:paraId="2B0200A8"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06DFFDE2"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71" w:type="dxa"/>
            <w:vMerge w:val="restart"/>
            <w:tcBorders>
              <w:top w:val="nil"/>
              <w:left w:val="single" w:sz="4" w:space="0" w:color="auto"/>
              <w:bottom w:val="single" w:sz="4" w:space="0" w:color="auto"/>
              <w:right w:val="single" w:sz="4" w:space="0" w:color="auto"/>
            </w:tcBorders>
            <w:shd w:val="clear" w:color="auto" w:fill="auto"/>
            <w:vAlign w:val="center"/>
            <w:hideMark/>
          </w:tcPr>
          <w:p w14:paraId="5A1B7A34"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86" w:type="dxa"/>
            <w:vMerge w:val="restart"/>
            <w:tcBorders>
              <w:top w:val="nil"/>
              <w:left w:val="single" w:sz="4" w:space="0" w:color="auto"/>
              <w:bottom w:val="single" w:sz="4" w:space="0" w:color="auto"/>
              <w:right w:val="single" w:sz="4" w:space="0" w:color="auto"/>
            </w:tcBorders>
            <w:shd w:val="clear" w:color="auto" w:fill="auto"/>
            <w:vAlign w:val="center"/>
            <w:hideMark/>
          </w:tcPr>
          <w:p w14:paraId="6B2BF215"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71" w:type="dxa"/>
            <w:vMerge w:val="restart"/>
            <w:tcBorders>
              <w:top w:val="nil"/>
              <w:left w:val="single" w:sz="4" w:space="0" w:color="auto"/>
              <w:bottom w:val="single" w:sz="4" w:space="0" w:color="auto"/>
              <w:right w:val="single" w:sz="4" w:space="0" w:color="auto"/>
            </w:tcBorders>
            <w:shd w:val="clear" w:color="auto" w:fill="auto"/>
            <w:vAlign w:val="center"/>
            <w:hideMark/>
          </w:tcPr>
          <w:p w14:paraId="0FF2FDA0"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903" w:type="dxa"/>
            <w:vMerge w:val="restart"/>
            <w:tcBorders>
              <w:top w:val="nil"/>
              <w:left w:val="single" w:sz="4" w:space="0" w:color="auto"/>
              <w:bottom w:val="single" w:sz="4" w:space="0" w:color="auto"/>
              <w:right w:val="single" w:sz="4" w:space="0" w:color="auto"/>
            </w:tcBorders>
            <w:shd w:val="clear" w:color="auto" w:fill="auto"/>
            <w:vAlign w:val="center"/>
            <w:hideMark/>
          </w:tcPr>
          <w:p w14:paraId="77F8AF79"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1A70B8AF"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22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69D1A3"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7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9C3FAC"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A51DED" w:rsidRPr="00A51DED" w14:paraId="5E23FFC3" w14:textId="77777777" w:rsidTr="00B334F7">
        <w:trPr>
          <w:trHeight w:val="300"/>
        </w:trPr>
        <w:tc>
          <w:tcPr>
            <w:tcW w:w="844" w:type="dxa"/>
            <w:vMerge/>
            <w:tcBorders>
              <w:top w:val="nil"/>
              <w:left w:val="single" w:sz="4" w:space="0" w:color="auto"/>
              <w:bottom w:val="single" w:sz="4" w:space="0" w:color="auto"/>
              <w:right w:val="single" w:sz="4" w:space="0" w:color="auto"/>
            </w:tcBorders>
            <w:vAlign w:val="center"/>
            <w:hideMark/>
          </w:tcPr>
          <w:p w14:paraId="5F019EA9"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44" w:type="dxa"/>
            <w:vMerge/>
            <w:tcBorders>
              <w:top w:val="nil"/>
              <w:left w:val="single" w:sz="4" w:space="0" w:color="auto"/>
              <w:bottom w:val="single" w:sz="4" w:space="0" w:color="auto"/>
              <w:right w:val="single" w:sz="4" w:space="0" w:color="auto"/>
            </w:tcBorders>
            <w:vAlign w:val="center"/>
            <w:hideMark/>
          </w:tcPr>
          <w:p w14:paraId="5C309315"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1" w:type="dxa"/>
            <w:vMerge/>
            <w:tcBorders>
              <w:top w:val="nil"/>
              <w:left w:val="single" w:sz="4" w:space="0" w:color="auto"/>
              <w:bottom w:val="single" w:sz="4" w:space="0" w:color="auto"/>
              <w:right w:val="single" w:sz="4" w:space="0" w:color="auto"/>
            </w:tcBorders>
            <w:vAlign w:val="center"/>
            <w:hideMark/>
          </w:tcPr>
          <w:p w14:paraId="4E8776BA"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86" w:type="dxa"/>
            <w:vMerge/>
            <w:tcBorders>
              <w:top w:val="nil"/>
              <w:left w:val="single" w:sz="4" w:space="0" w:color="auto"/>
              <w:bottom w:val="single" w:sz="4" w:space="0" w:color="auto"/>
              <w:right w:val="single" w:sz="4" w:space="0" w:color="auto"/>
            </w:tcBorders>
            <w:vAlign w:val="center"/>
            <w:hideMark/>
          </w:tcPr>
          <w:p w14:paraId="3DE29F34"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1" w:type="dxa"/>
            <w:vMerge/>
            <w:tcBorders>
              <w:top w:val="nil"/>
              <w:left w:val="single" w:sz="4" w:space="0" w:color="auto"/>
              <w:bottom w:val="single" w:sz="4" w:space="0" w:color="auto"/>
              <w:right w:val="single" w:sz="4" w:space="0" w:color="auto"/>
            </w:tcBorders>
            <w:vAlign w:val="center"/>
            <w:hideMark/>
          </w:tcPr>
          <w:p w14:paraId="3A025B5E"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3" w:type="dxa"/>
            <w:vMerge/>
            <w:tcBorders>
              <w:top w:val="nil"/>
              <w:left w:val="single" w:sz="4" w:space="0" w:color="auto"/>
              <w:bottom w:val="single" w:sz="4" w:space="0" w:color="auto"/>
              <w:right w:val="single" w:sz="4" w:space="0" w:color="auto"/>
            </w:tcBorders>
            <w:vAlign w:val="center"/>
            <w:hideMark/>
          </w:tcPr>
          <w:p w14:paraId="0777F7F3"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44" w:type="dxa"/>
            <w:vMerge/>
            <w:tcBorders>
              <w:top w:val="nil"/>
              <w:left w:val="single" w:sz="4" w:space="0" w:color="auto"/>
              <w:bottom w:val="single" w:sz="4" w:space="0" w:color="auto"/>
              <w:right w:val="single" w:sz="4" w:space="0" w:color="auto"/>
            </w:tcBorders>
            <w:vAlign w:val="center"/>
            <w:hideMark/>
          </w:tcPr>
          <w:p w14:paraId="206FCDBE"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2254" w:type="dxa"/>
            <w:gridSpan w:val="2"/>
            <w:vMerge/>
            <w:tcBorders>
              <w:top w:val="single" w:sz="4" w:space="0" w:color="auto"/>
              <w:left w:val="single" w:sz="4" w:space="0" w:color="auto"/>
              <w:bottom w:val="single" w:sz="4" w:space="0" w:color="auto"/>
              <w:right w:val="single" w:sz="4" w:space="0" w:color="auto"/>
            </w:tcBorders>
            <w:vAlign w:val="center"/>
            <w:hideMark/>
          </w:tcPr>
          <w:p w14:paraId="7C34A8CB"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07" w:type="dxa"/>
            <w:gridSpan w:val="2"/>
            <w:vMerge/>
            <w:tcBorders>
              <w:top w:val="single" w:sz="4" w:space="0" w:color="auto"/>
              <w:left w:val="single" w:sz="4" w:space="0" w:color="auto"/>
              <w:bottom w:val="single" w:sz="4" w:space="0" w:color="auto"/>
              <w:right w:val="single" w:sz="4" w:space="0" w:color="auto"/>
            </w:tcBorders>
            <w:vAlign w:val="center"/>
            <w:hideMark/>
          </w:tcPr>
          <w:p w14:paraId="0B3C6B7C"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A51DED" w:rsidRPr="00A51DED" w14:paraId="68D6C726" w14:textId="77777777" w:rsidTr="00B334F7">
        <w:trPr>
          <w:trHeight w:val="300"/>
        </w:trPr>
        <w:tc>
          <w:tcPr>
            <w:tcW w:w="844" w:type="dxa"/>
            <w:vMerge/>
            <w:tcBorders>
              <w:top w:val="nil"/>
              <w:left w:val="single" w:sz="4" w:space="0" w:color="auto"/>
              <w:bottom w:val="single" w:sz="4" w:space="0" w:color="auto"/>
              <w:right w:val="single" w:sz="4" w:space="0" w:color="auto"/>
            </w:tcBorders>
            <w:vAlign w:val="center"/>
            <w:hideMark/>
          </w:tcPr>
          <w:p w14:paraId="2617C438"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44" w:type="dxa"/>
            <w:vMerge/>
            <w:tcBorders>
              <w:top w:val="nil"/>
              <w:left w:val="single" w:sz="4" w:space="0" w:color="auto"/>
              <w:bottom w:val="single" w:sz="4" w:space="0" w:color="auto"/>
              <w:right w:val="single" w:sz="4" w:space="0" w:color="auto"/>
            </w:tcBorders>
            <w:vAlign w:val="center"/>
            <w:hideMark/>
          </w:tcPr>
          <w:p w14:paraId="78CF4CCA"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1" w:type="dxa"/>
            <w:vMerge/>
            <w:tcBorders>
              <w:top w:val="nil"/>
              <w:left w:val="single" w:sz="4" w:space="0" w:color="auto"/>
              <w:bottom w:val="single" w:sz="4" w:space="0" w:color="auto"/>
              <w:right w:val="single" w:sz="4" w:space="0" w:color="auto"/>
            </w:tcBorders>
            <w:vAlign w:val="center"/>
            <w:hideMark/>
          </w:tcPr>
          <w:p w14:paraId="43C1E748"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86" w:type="dxa"/>
            <w:vMerge/>
            <w:tcBorders>
              <w:top w:val="nil"/>
              <w:left w:val="single" w:sz="4" w:space="0" w:color="auto"/>
              <w:bottom w:val="single" w:sz="4" w:space="0" w:color="auto"/>
              <w:right w:val="single" w:sz="4" w:space="0" w:color="auto"/>
            </w:tcBorders>
            <w:vAlign w:val="center"/>
            <w:hideMark/>
          </w:tcPr>
          <w:p w14:paraId="00D27F6A"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1" w:type="dxa"/>
            <w:vMerge/>
            <w:tcBorders>
              <w:top w:val="nil"/>
              <w:left w:val="single" w:sz="4" w:space="0" w:color="auto"/>
              <w:bottom w:val="single" w:sz="4" w:space="0" w:color="auto"/>
              <w:right w:val="single" w:sz="4" w:space="0" w:color="auto"/>
            </w:tcBorders>
            <w:vAlign w:val="center"/>
            <w:hideMark/>
          </w:tcPr>
          <w:p w14:paraId="266EB936"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3" w:type="dxa"/>
            <w:vMerge/>
            <w:tcBorders>
              <w:top w:val="nil"/>
              <w:left w:val="single" w:sz="4" w:space="0" w:color="auto"/>
              <w:bottom w:val="single" w:sz="4" w:space="0" w:color="auto"/>
              <w:right w:val="single" w:sz="4" w:space="0" w:color="auto"/>
            </w:tcBorders>
            <w:vAlign w:val="center"/>
            <w:hideMark/>
          </w:tcPr>
          <w:p w14:paraId="00C40CD6"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44" w:type="dxa"/>
            <w:vMerge/>
            <w:tcBorders>
              <w:top w:val="nil"/>
              <w:left w:val="single" w:sz="4" w:space="0" w:color="auto"/>
              <w:bottom w:val="single" w:sz="4" w:space="0" w:color="auto"/>
              <w:right w:val="single" w:sz="4" w:space="0" w:color="auto"/>
            </w:tcBorders>
            <w:vAlign w:val="center"/>
            <w:hideMark/>
          </w:tcPr>
          <w:p w14:paraId="7C2D1FE7"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424" w:type="dxa"/>
            <w:tcBorders>
              <w:top w:val="nil"/>
              <w:left w:val="nil"/>
              <w:bottom w:val="single" w:sz="4" w:space="0" w:color="auto"/>
              <w:right w:val="single" w:sz="4" w:space="0" w:color="auto"/>
            </w:tcBorders>
            <w:shd w:val="clear" w:color="auto" w:fill="auto"/>
            <w:vAlign w:val="center"/>
            <w:hideMark/>
          </w:tcPr>
          <w:p w14:paraId="6A2DE547"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30" w:type="dxa"/>
            <w:tcBorders>
              <w:top w:val="nil"/>
              <w:left w:val="nil"/>
              <w:bottom w:val="single" w:sz="4" w:space="0" w:color="auto"/>
              <w:right w:val="single" w:sz="4" w:space="0" w:color="auto"/>
            </w:tcBorders>
            <w:shd w:val="clear" w:color="auto" w:fill="auto"/>
            <w:vAlign w:val="center"/>
            <w:hideMark/>
          </w:tcPr>
          <w:p w14:paraId="7DC1C841"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50" w:type="dxa"/>
            <w:tcBorders>
              <w:top w:val="nil"/>
              <w:left w:val="nil"/>
              <w:bottom w:val="single" w:sz="4" w:space="0" w:color="auto"/>
              <w:right w:val="single" w:sz="4" w:space="0" w:color="auto"/>
            </w:tcBorders>
            <w:shd w:val="clear" w:color="auto" w:fill="auto"/>
            <w:vAlign w:val="center"/>
            <w:hideMark/>
          </w:tcPr>
          <w:p w14:paraId="0E2C624C"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57" w:type="dxa"/>
            <w:tcBorders>
              <w:top w:val="nil"/>
              <w:left w:val="nil"/>
              <w:bottom w:val="single" w:sz="4" w:space="0" w:color="auto"/>
              <w:right w:val="single" w:sz="4" w:space="0" w:color="auto"/>
            </w:tcBorders>
            <w:shd w:val="clear" w:color="auto" w:fill="auto"/>
            <w:vAlign w:val="center"/>
            <w:hideMark/>
          </w:tcPr>
          <w:p w14:paraId="57C3BAAD"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15721A" w:rsidRPr="00A51DED" w14:paraId="335B9273" w14:textId="77777777" w:rsidTr="00A51DED">
        <w:trPr>
          <w:trHeight w:val="765"/>
        </w:trPr>
        <w:tc>
          <w:tcPr>
            <w:tcW w:w="844" w:type="dxa"/>
            <w:tcBorders>
              <w:top w:val="nil"/>
              <w:left w:val="single" w:sz="4" w:space="0" w:color="auto"/>
              <w:bottom w:val="single" w:sz="4" w:space="0" w:color="auto"/>
              <w:right w:val="single" w:sz="4" w:space="0" w:color="auto"/>
            </w:tcBorders>
            <w:shd w:val="clear" w:color="auto" w:fill="auto"/>
            <w:vAlign w:val="center"/>
            <w:hideMark/>
          </w:tcPr>
          <w:p w14:paraId="12A2FAFD"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44" w:type="dxa"/>
            <w:vMerge w:val="restart"/>
            <w:tcBorders>
              <w:top w:val="nil"/>
              <w:left w:val="single" w:sz="4" w:space="0" w:color="auto"/>
              <w:bottom w:val="single" w:sz="4" w:space="0" w:color="000000"/>
              <w:right w:val="single" w:sz="4" w:space="0" w:color="auto"/>
            </w:tcBorders>
            <w:shd w:val="clear" w:color="auto" w:fill="auto"/>
            <w:vAlign w:val="center"/>
            <w:hideMark/>
          </w:tcPr>
          <w:p w14:paraId="11836AE5"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DL</w:t>
            </w:r>
          </w:p>
        </w:tc>
        <w:tc>
          <w:tcPr>
            <w:tcW w:w="871" w:type="dxa"/>
            <w:vMerge w:val="restart"/>
            <w:tcBorders>
              <w:top w:val="nil"/>
              <w:left w:val="single" w:sz="4" w:space="0" w:color="auto"/>
              <w:bottom w:val="single" w:sz="4" w:space="0" w:color="auto"/>
              <w:right w:val="single" w:sz="4" w:space="0" w:color="auto"/>
            </w:tcBorders>
            <w:shd w:val="clear" w:color="auto" w:fill="auto"/>
            <w:vAlign w:val="center"/>
            <w:hideMark/>
          </w:tcPr>
          <w:p w14:paraId="79A88265"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DL</w:t>
            </w:r>
          </w:p>
        </w:tc>
        <w:tc>
          <w:tcPr>
            <w:tcW w:w="1186" w:type="dxa"/>
            <w:tcBorders>
              <w:top w:val="nil"/>
              <w:left w:val="nil"/>
              <w:bottom w:val="single" w:sz="4" w:space="0" w:color="auto"/>
              <w:right w:val="single" w:sz="4" w:space="0" w:color="auto"/>
            </w:tcBorders>
            <w:shd w:val="clear" w:color="auto" w:fill="auto"/>
            <w:vAlign w:val="center"/>
            <w:hideMark/>
          </w:tcPr>
          <w:p w14:paraId="509F472A"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71" w:type="dxa"/>
            <w:vMerge w:val="restart"/>
            <w:tcBorders>
              <w:top w:val="nil"/>
              <w:left w:val="single" w:sz="4" w:space="0" w:color="auto"/>
              <w:bottom w:val="single" w:sz="4" w:space="0" w:color="auto"/>
              <w:right w:val="single" w:sz="4" w:space="0" w:color="auto"/>
            </w:tcBorders>
            <w:shd w:val="clear" w:color="auto" w:fill="auto"/>
            <w:vAlign w:val="center"/>
            <w:hideMark/>
          </w:tcPr>
          <w:p w14:paraId="0979F472"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50 dBm</w:t>
            </w:r>
          </w:p>
        </w:tc>
        <w:tc>
          <w:tcPr>
            <w:tcW w:w="903" w:type="dxa"/>
            <w:vMerge w:val="restart"/>
            <w:tcBorders>
              <w:top w:val="nil"/>
              <w:left w:val="single" w:sz="4" w:space="0" w:color="auto"/>
              <w:bottom w:val="single" w:sz="4" w:space="0" w:color="auto"/>
              <w:right w:val="single" w:sz="4" w:space="0" w:color="auto"/>
            </w:tcBorders>
            <w:shd w:val="clear" w:color="auto" w:fill="auto"/>
            <w:vAlign w:val="center"/>
            <w:hideMark/>
          </w:tcPr>
          <w:p w14:paraId="26A37941"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Enabled, without sub-band filtering</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686F8329"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TDD: 53 dBm</w:t>
            </w:r>
          </w:p>
        </w:tc>
        <w:tc>
          <w:tcPr>
            <w:tcW w:w="1424" w:type="dxa"/>
            <w:tcBorders>
              <w:top w:val="nil"/>
              <w:left w:val="nil"/>
              <w:bottom w:val="single" w:sz="4" w:space="0" w:color="auto"/>
              <w:right w:val="single" w:sz="4" w:space="0" w:color="auto"/>
            </w:tcBorders>
            <w:shd w:val="clear" w:color="auto" w:fill="auto"/>
            <w:noWrap/>
            <w:vAlign w:val="center"/>
            <w:hideMark/>
          </w:tcPr>
          <w:p w14:paraId="19079FDA"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0.03</w:t>
            </w:r>
          </w:p>
        </w:tc>
        <w:tc>
          <w:tcPr>
            <w:tcW w:w="830" w:type="dxa"/>
            <w:tcBorders>
              <w:top w:val="nil"/>
              <w:left w:val="nil"/>
              <w:bottom w:val="single" w:sz="4" w:space="0" w:color="auto"/>
              <w:right w:val="single" w:sz="4" w:space="0" w:color="auto"/>
            </w:tcBorders>
            <w:shd w:val="clear" w:color="auto" w:fill="auto"/>
            <w:noWrap/>
            <w:vAlign w:val="center"/>
            <w:hideMark/>
          </w:tcPr>
          <w:p w14:paraId="548C2D82"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20BAC0BA"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0.66</w:t>
            </w:r>
          </w:p>
        </w:tc>
        <w:tc>
          <w:tcPr>
            <w:tcW w:w="857" w:type="dxa"/>
            <w:tcBorders>
              <w:top w:val="nil"/>
              <w:left w:val="nil"/>
              <w:bottom w:val="single" w:sz="4" w:space="0" w:color="auto"/>
              <w:right w:val="single" w:sz="4" w:space="0" w:color="auto"/>
            </w:tcBorders>
            <w:shd w:val="clear" w:color="auto" w:fill="auto"/>
            <w:noWrap/>
            <w:vAlign w:val="center"/>
            <w:hideMark/>
          </w:tcPr>
          <w:p w14:paraId="378053A5"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2.74</w:t>
            </w:r>
          </w:p>
        </w:tc>
      </w:tr>
      <w:tr w:rsidR="0015721A" w:rsidRPr="00A51DED" w14:paraId="1B185B22" w14:textId="77777777" w:rsidTr="00A51DED">
        <w:trPr>
          <w:trHeight w:val="765"/>
        </w:trPr>
        <w:tc>
          <w:tcPr>
            <w:tcW w:w="844" w:type="dxa"/>
            <w:tcBorders>
              <w:top w:val="nil"/>
              <w:left w:val="single" w:sz="4" w:space="0" w:color="auto"/>
              <w:bottom w:val="single" w:sz="4" w:space="0" w:color="auto"/>
              <w:right w:val="single" w:sz="4" w:space="0" w:color="auto"/>
            </w:tcBorders>
            <w:shd w:val="clear" w:color="auto" w:fill="auto"/>
            <w:vAlign w:val="center"/>
            <w:hideMark/>
          </w:tcPr>
          <w:p w14:paraId="49D6BC75"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44" w:type="dxa"/>
            <w:vMerge/>
            <w:tcBorders>
              <w:top w:val="nil"/>
              <w:left w:val="single" w:sz="4" w:space="0" w:color="auto"/>
              <w:bottom w:val="single" w:sz="4" w:space="0" w:color="000000"/>
              <w:right w:val="single" w:sz="4" w:space="0" w:color="auto"/>
            </w:tcBorders>
            <w:vAlign w:val="center"/>
            <w:hideMark/>
          </w:tcPr>
          <w:p w14:paraId="4E08AA72"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1" w:type="dxa"/>
            <w:vMerge/>
            <w:tcBorders>
              <w:top w:val="nil"/>
              <w:left w:val="single" w:sz="4" w:space="0" w:color="auto"/>
              <w:bottom w:val="single" w:sz="4" w:space="0" w:color="auto"/>
              <w:right w:val="single" w:sz="4" w:space="0" w:color="auto"/>
            </w:tcBorders>
            <w:vAlign w:val="center"/>
            <w:hideMark/>
          </w:tcPr>
          <w:p w14:paraId="3D7FBE5E"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68B6E5A7"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71" w:type="dxa"/>
            <w:vMerge/>
            <w:tcBorders>
              <w:top w:val="nil"/>
              <w:left w:val="single" w:sz="4" w:space="0" w:color="auto"/>
              <w:bottom w:val="single" w:sz="4" w:space="0" w:color="auto"/>
              <w:right w:val="single" w:sz="4" w:space="0" w:color="auto"/>
            </w:tcBorders>
            <w:vAlign w:val="center"/>
            <w:hideMark/>
          </w:tcPr>
          <w:p w14:paraId="4B9518C6"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3" w:type="dxa"/>
            <w:vMerge/>
            <w:tcBorders>
              <w:top w:val="nil"/>
              <w:left w:val="single" w:sz="4" w:space="0" w:color="auto"/>
              <w:bottom w:val="single" w:sz="4" w:space="0" w:color="auto"/>
              <w:right w:val="single" w:sz="4" w:space="0" w:color="auto"/>
            </w:tcBorders>
            <w:vAlign w:val="center"/>
            <w:hideMark/>
          </w:tcPr>
          <w:p w14:paraId="31E44D5B"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4" w:type="dxa"/>
            <w:vMerge/>
            <w:tcBorders>
              <w:top w:val="nil"/>
              <w:left w:val="single" w:sz="4" w:space="0" w:color="auto"/>
              <w:bottom w:val="single" w:sz="4" w:space="0" w:color="auto"/>
              <w:right w:val="single" w:sz="4" w:space="0" w:color="auto"/>
            </w:tcBorders>
            <w:vAlign w:val="center"/>
            <w:hideMark/>
          </w:tcPr>
          <w:p w14:paraId="1E786557"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424" w:type="dxa"/>
            <w:tcBorders>
              <w:top w:val="nil"/>
              <w:left w:val="nil"/>
              <w:bottom w:val="single" w:sz="4" w:space="0" w:color="auto"/>
              <w:right w:val="single" w:sz="4" w:space="0" w:color="auto"/>
            </w:tcBorders>
            <w:shd w:val="clear" w:color="auto" w:fill="auto"/>
            <w:noWrap/>
            <w:vAlign w:val="center"/>
            <w:hideMark/>
          </w:tcPr>
          <w:p w14:paraId="0BD486D0"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0.31</w:t>
            </w:r>
          </w:p>
        </w:tc>
        <w:tc>
          <w:tcPr>
            <w:tcW w:w="830" w:type="dxa"/>
            <w:tcBorders>
              <w:top w:val="nil"/>
              <w:left w:val="nil"/>
              <w:bottom w:val="single" w:sz="4" w:space="0" w:color="auto"/>
              <w:right w:val="single" w:sz="4" w:space="0" w:color="auto"/>
            </w:tcBorders>
            <w:shd w:val="clear" w:color="auto" w:fill="auto"/>
            <w:noWrap/>
            <w:vAlign w:val="center"/>
            <w:hideMark/>
          </w:tcPr>
          <w:p w14:paraId="7344829F"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-0.12</w:t>
            </w:r>
          </w:p>
        </w:tc>
        <w:tc>
          <w:tcPr>
            <w:tcW w:w="8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653FC48"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5.81</w:t>
            </w:r>
          </w:p>
        </w:tc>
        <w:tc>
          <w:tcPr>
            <w:tcW w:w="857" w:type="dxa"/>
            <w:tcBorders>
              <w:top w:val="nil"/>
              <w:left w:val="nil"/>
              <w:bottom w:val="single" w:sz="4" w:space="0" w:color="auto"/>
              <w:right w:val="single" w:sz="4" w:space="0" w:color="auto"/>
            </w:tcBorders>
            <w:shd w:val="clear" w:color="auto" w:fill="auto"/>
            <w:noWrap/>
            <w:vAlign w:val="center"/>
            <w:hideMark/>
          </w:tcPr>
          <w:p w14:paraId="7F022CFF"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-1.98</w:t>
            </w:r>
          </w:p>
        </w:tc>
      </w:tr>
      <w:tr w:rsidR="0015721A" w:rsidRPr="00A51DED" w14:paraId="3C1D9E2C" w14:textId="77777777" w:rsidTr="00A51DED">
        <w:trPr>
          <w:trHeight w:val="765"/>
        </w:trPr>
        <w:tc>
          <w:tcPr>
            <w:tcW w:w="844" w:type="dxa"/>
            <w:tcBorders>
              <w:top w:val="nil"/>
              <w:left w:val="single" w:sz="4" w:space="0" w:color="auto"/>
              <w:bottom w:val="single" w:sz="4" w:space="0" w:color="auto"/>
              <w:right w:val="single" w:sz="4" w:space="0" w:color="auto"/>
            </w:tcBorders>
            <w:shd w:val="clear" w:color="auto" w:fill="auto"/>
            <w:vAlign w:val="center"/>
            <w:hideMark/>
          </w:tcPr>
          <w:p w14:paraId="05FD9B37"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44" w:type="dxa"/>
            <w:vMerge/>
            <w:tcBorders>
              <w:top w:val="nil"/>
              <w:left w:val="single" w:sz="4" w:space="0" w:color="auto"/>
              <w:bottom w:val="single" w:sz="4" w:space="0" w:color="000000"/>
              <w:right w:val="single" w:sz="4" w:space="0" w:color="auto"/>
            </w:tcBorders>
            <w:vAlign w:val="center"/>
            <w:hideMark/>
          </w:tcPr>
          <w:p w14:paraId="6D3843E7"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1" w:type="dxa"/>
            <w:vMerge w:val="restart"/>
            <w:tcBorders>
              <w:top w:val="nil"/>
              <w:left w:val="single" w:sz="4" w:space="0" w:color="auto"/>
              <w:bottom w:val="single" w:sz="4" w:space="0" w:color="auto"/>
              <w:right w:val="single" w:sz="4" w:space="0" w:color="auto"/>
            </w:tcBorders>
            <w:shd w:val="clear" w:color="auto" w:fill="auto"/>
            <w:vAlign w:val="center"/>
            <w:hideMark/>
          </w:tcPr>
          <w:p w14:paraId="2291D43B"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UL</w:t>
            </w:r>
          </w:p>
        </w:tc>
        <w:tc>
          <w:tcPr>
            <w:tcW w:w="1186" w:type="dxa"/>
            <w:tcBorders>
              <w:top w:val="nil"/>
              <w:left w:val="nil"/>
              <w:bottom w:val="single" w:sz="4" w:space="0" w:color="auto"/>
              <w:right w:val="single" w:sz="4" w:space="0" w:color="auto"/>
            </w:tcBorders>
            <w:shd w:val="clear" w:color="auto" w:fill="auto"/>
            <w:vAlign w:val="center"/>
            <w:hideMark/>
          </w:tcPr>
          <w:p w14:paraId="4F8790B5"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71" w:type="dxa"/>
            <w:vMerge/>
            <w:tcBorders>
              <w:top w:val="nil"/>
              <w:left w:val="single" w:sz="4" w:space="0" w:color="auto"/>
              <w:bottom w:val="single" w:sz="4" w:space="0" w:color="auto"/>
              <w:right w:val="single" w:sz="4" w:space="0" w:color="auto"/>
            </w:tcBorders>
            <w:vAlign w:val="center"/>
            <w:hideMark/>
          </w:tcPr>
          <w:p w14:paraId="1EC74F37"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3" w:type="dxa"/>
            <w:vMerge/>
            <w:tcBorders>
              <w:top w:val="nil"/>
              <w:left w:val="single" w:sz="4" w:space="0" w:color="auto"/>
              <w:bottom w:val="single" w:sz="4" w:space="0" w:color="auto"/>
              <w:right w:val="single" w:sz="4" w:space="0" w:color="auto"/>
            </w:tcBorders>
            <w:vAlign w:val="center"/>
            <w:hideMark/>
          </w:tcPr>
          <w:p w14:paraId="5F36B431"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4" w:type="dxa"/>
            <w:vMerge/>
            <w:tcBorders>
              <w:top w:val="nil"/>
              <w:left w:val="single" w:sz="4" w:space="0" w:color="auto"/>
              <w:bottom w:val="single" w:sz="4" w:space="0" w:color="auto"/>
              <w:right w:val="single" w:sz="4" w:space="0" w:color="auto"/>
            </w:tcBorders>
            <w:vAlign w:val="center"/>
            <w:hideMark/>
          </w:tcPr>
          <w:p w14:paraId="50AB9304"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424" w:type="dxa"/>
            <w:tcBorders>
              <w:top w:val="nil"/>
              <w:left w:val="nil"/>
              <w:bottom w:val="single" w:sz="4" w:space="0" w:color="auto"/>
              <w:right w:val="single" w:sz="4" w:space="0" w:color="auto"/>
            </w:tcBorders>
            <w:shd w:val="clear" w:color="auto" w:fill="auto"/>
            <w:noWrap/>
            <w:vAlign w:val="center"/>
            <w:hideMark/>
          </w:tcPr>
          <w:p w14:paraId="6133EAC6"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9.38</w:t>
            </w:r>
          </w:p>
        </w:tc>
        <w:tc>
          <w:tcPr>
            <w:tcW w:w="830" w:type="dxa"/>
            <w:tcBorders>
              <w:top w:val="nil"/>
              <w:left w:val="nil"/>
              <w:bottom w:val="single" w:sz="4" w:space="0" w:color="auto"/>
              <w:right w:val="single" w:sz="4" w:space="0" w:color="auto"/>
            </w:tcBorders>
            <w:shd w:val="clear" w:color="auto" w:fill="auto"/>
            <w:noWrap/>
            <w:vAlign w:val="center"/>
            <w:hideMark/>
          </w:tcPr>
          <w:p w14:paraId="1FC2A478"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1.27</w:t>
            </w:r>
          </w:p>
        </w:tc>
        <w:tc>
          <w:tcPr>
            <w:tcW w:w="8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92C50B6"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5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42103AD"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14.4</w:t>
            </w:r>
          </w:p>
        </w:tc>
      </w:tr>
      <w:tr w:rsidR="0015721A" w:rsidRPr="00A51DED" w14:paraId="193B5E36" w14:textId="77777777" w:rsidTr="00A51DED">
        <w:trPr>
          <w:trHeight w:val="765"/>
        </w:trPr>
        <w:tc>
          <w:tcPr>
            <w:tcW w:w="844" w:type="dxa"/>
            <w:tcBorders>
              <w:top w:val="nil"/>
              <w:left w:val="single" w:sz="4" w:space="0" w:color="auto"/>
              <w:bottom w:val="single" w:sz="4" w:space="0" w:color="auto"/>
              <w:right w:val="single" w:sz="4" w:space="0" w:color="auto"/>
            </w:tcBorders>
            <w:shd w:val="clear" w:color="auto" w:fill="auto"/>
            <w:vAlign w:val="center"/>
            <w:hideMark/>
          </w:tcPr>
          <w:p w14:paraId="3E0C6B8D"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44" w:type="dxa"/>
            <w:vMerge/>
            <w:tcBorders>
              <w:top w:val="nil"/>
              <w:left w:val="single" w:sz="4" w:space="0" w:color="auto"/>
              <w:bottom w:val="single" w:sz="4" w:space="0" w:color="000000"/>
              <w:right w:val="single" w:sz="4" w:space="0" w:color="auto"/>
            </w:tcBorders>
            <w:vAlign w:val="center"/>
            <w:hideMark/>
          </w:tcPr>
          <w:p w14:paraId="7D86E124"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1" w:type="dxa"/>
            <w:vMerge/>
            <w:tcBorders>
              <w:top w:val="nil"/>
              <w:left w:val="single" w:sz="4" w:space="0" w:color="auto"/>
              <w:bottom w:val="single" w:sz="4" w:space="0" w:color="auto"/>
              <w:right w:val="single" w:sz="4" w:space="0" w:color="auto"/>
            </w:tcBorders>
            <w:vAlign w:val="center"/>
            <w:hideMark/>
          </w:tcPr>
          <w:p w14:paraId="3A780D3A"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2AA03A52"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71" w:type="dxa"/>
            <w:vMerge/>
            <w:tcBorders>
              <w:top w:val="nil"/>
              <w:left w:val="single" w:sz="4" w:space="0" w:color="auto"/>
              <w:bottom w:val="single" w:sz="4" w:space="0" w:color="auto"/>
              <w:right w:val="single" w:sz="4" w:space="0" w:color="auto"/>
            </w:tcBorders>
            <w:vAlign w:val="center"/>
            <w:hideMark/>
          </w:tcPr>
          <w:p w14:paraId="5FEA23DE"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3" w:type="dxa"/>
            <w:vMerge/>
            <w:tcBorders>
              <w:top w:val="nil"/>
              <w:left w:val="single" w:sz="4" w:space="0" w:color="auto"/>
              <w:bottom w:val="single" w:sz="4" w:space="0" w:color="auto"/>
              <w:right w:val="single" w:sz="4" w:space="0" w:color="auto"/>
            </w:tcBorders>
            <w:vAlign w:val="center"/>
            <w:hideMark/>
          </w:tcPr>
          <w:p w14:paraId="346EF1D0"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4" w:type="dxa"/>
            <w:vMerge/>
            <w:tcBorders>
              <w:top w:val="nil"/>
              <w:left w:val="single" w:sz="4" w:space="0" w:color="auto"/>
              <w:bottom w:val="single" w:sz="4" w:space="0" w:color="auto"/>
              <w:right w:val="single" w:sz="4" w:space="0" w:color="auto"/>
            </w:tcBorders>
            <w:vAlign w:val="center"/>
            <w:hideMark/>
          </w:tcPr>
          <w:p w14:paraId="1F3F7D33"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424" w:type="dxa"/>
            <w:tcBorders>
              <w:top w:val="nil"/>
              <w:left w:val="nil"/>
              <w:bottom w:val="single" w:sz="4" w:space="0" w:color="auto"/>
              <w:right w:val="single" w:sz="4" w:space="0" w:color="auto"/>
            </w:tcBorders>
            <w:shd w:val="clear" w:color="auto" w:fill="auto"/>
            <w:noWrap/>
            <w:vAlign w:val="center"/>
            <w:hideMark/>
          </w:tcPr>
          <w:p w14:paraId="61B2CFB0"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Receiver blocked</w:t>
            </w:r>
          </w:p>
        </w:tc>
        <w:tc>
          <w:tcPr>
            <w:tcW w:w="830" w:type="dxa"/>
            <w:tcBorders>
              <w:top w:val="nil"/>
              <w:left w:val="nil"/>
              <w:bottom w:val="single" w:sz="4" w:space="0" w:color="auto"/>
              <w:right w:val="single" w:sz="4" w:space="0" w:color="auto"/>
            </w:tcBorders>
            <w:shd w:val="clear" w:color="auto" w:fill="auto"/>
            <w:noWrap/>
            <w:vAlign w:val="center"/>
            <w:hideMark/>
          </w:tcPr>
          <w:p w14:paraId="23D67BB0"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7.31</w:t>
            </w:r>
          </w:p>
        </w:tc>
        <w:tc>
          <w:tcPr>
            <w:tcW w:w="8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653E63A"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5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BB4305E"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49.18</w:t>
            </w:r>
          </w:p>
        </w:tc>
      </w:tr>
      <w:tr w:rsidR="0015721A" w:rsidRPr="00A51DED" w14:paraId="10CC242D" w14:textId="77777777" w:rsidTr="00A51DED">
        <w:trPr>
          <w:trHeight w:val="765"/>
        </w:trPr>
        <w:tc>
          <w:tcPr>
            <w:tcW w:w="844" w:type="dxa"/>
            <w:tcBorders>
              <w:top w:val="nil"/>
              <w:left w:val="single" w:sz="4" w:space="0" w:color="auto"/>
              <w:bottom w:val="single" w:sz="4" w:space="0" w:color="auto"/>
              <w:right w:val="single" w:sz="4" w:space="0" w:color="auto"/>
            </w:tcBorders>
            <w:shd w:val="clear" w:color="auto" w:fill="auto"/>
            <w:vAlign w:val="center"/>
            <w:hideMark/>
          </w:tcPr>
          <w:p w14:paraId="4080CF9E"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44" w:type="dxa"/>
            <w:vMerge/>
            <w:tcBorders>
              <w:top w:val="nil"/>
              <w:left w:val="single" w:sz="4" w:space="0" w:color="auto"/>
              <w:bottom w:val="single" w:sz="4" w:space="0" w:color="000000"/>
              <w:right w:val="single" w:sz="4" w:space="0" w:color="auto"/>
            </w:tcBorders>
            <w:vAlign w:val="center"/>
            <w:hideMark/>
          </w:tcPr>
          <w:p w14:paraId="28A9B67E"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1" w:type="dxa"/>
            <w:vMerge w:val="restart"/>
            <w:tcBorders>
              <w:top w:val="nil"/>
              <w:left w:val="single" w:sz="4" w:space="0" w:color="auto"/>
              <w:bottom w:val="single" w:sz="4" w:space="0" w:color="auto"/>
              <w:right w:val="single" w:sz="4" w:space="0" w:color="auto"/>
            </w:tcBorders>
            <w:shd w:val="clear" w:color="auto" w:fill="auto"/>
            <w:vAlign w:val="center"/>
            <w:hideMark/>
          </w:tcPr>
          <w:p w14:paraId="11CACE4D"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DL</w:t>
            </w:r>
          </w:p>
        </w:tc>
        <w:tc>
          <w:tcPr>
            <w:tcW w:w="1186" w:type="dxa"/>
            <w:tcBorders>
              <w:top w:val="nil"/>
              <w:left w:val="nil"/>
              <w:bottom w:val="single" w:sz="4" w:space="0" w:color="auto"/>
              <w:right w:val="single" w:sz="4" w:space="0" w:color="auto"/>
            </w:tcBorders>
            <w:shd w:val="clear" w:color="auto" w:fill="auto"/>
            <w:vAlign w:val="center"/>
            <w:hideMark/>
          </w:tcPr>
          <w:p w14:paraId="2C59213D"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71" w:type="dxa"/>
            <w:vMerge w:val="restart"/>
            <w:tcBorders>
              <w:top w:val="nil"/>
              <w:left w:val="single" w:sz="4" w:space="0" w:color="auto"/>
              <w:bottom w:val="single" w:sz="4" w:space="0" w:color="auto"/>
              <w:right w:val="single" w:sz="4" w:space="0" w:color="auto"/>
            </w:tcBorders>
            <w:shd w:val="clear" w:color="auto" w:fill="auto"/>
            <w:vAlign w:val="center"/>
            <w:hideMark/>
          </w:tcPr>
          <w:p w14:paraId="725CDCA7"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53 dBm</w:t>
            </w:r>
          </w:p>
        </w:tc>
        <w:tc>
          <w:tcPr>
            <w:tcW w:w="903" w:type="dxa"/>
            <w:vMerge/>
            <w:tcBorders>
              <w:top w:val="nil"/>
              <w:left w:val="single" w:sz="4" w:space="0" w:color="auto"/>
              <w:bottom w:val="single" w:sz="4" w:space="0" w:color="auto"/>
              <w:right w:val="single" w:sz="4" w:space="0" w:color="auto"/>
            </w:tcBorders>
            <w:vAlign w:val="center"/>
            <w:hideMark/>
          </w:tcPr>
          <w:p w14:paraId="6F89D50C"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4" w:type="dxa"/>
            <w:vMerge/>
            <w:tcBorders>
              <w:top w:val="nil"/>
              <w:left w:val="single" w:sz="4" w:space="0" w:color="auto"/>
              <w:bottom w:val="single" w:sz="4" w:space="0" w:color="auto"/>
              <w:right w:val="single" w:sz="4" w:space="0" w:color="auto"/>
            </w:tcBorders>
            <w:vAlign w:val="center"/>
            <w:hideMark/>
          </w:tcPr>
          <w:p w14:paraId="15BF1A3C"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424" w:type="dxa"/>
            <w:tcBorders>
              <w:top w:val="nil"/>
              <w:left w:val="nil"/>
              <w:bottom w:val="single" w:sz="4" w:space="0" w:color="auto"/>
              <w:right w:val="single" w:sz="4" w:space="0" w:color="auto"/>
            </w:tcBorders>
            <w:shd w:val="clear" w:color="auto" w:fill="auto"/>
            <w:noWrap/>
            <w:vAlign w:val="center"/>
            <w:hideMark/>
          </w:tcPr>
          <w:p w14:paraId="5F5E206C"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w:t>
            </w:r>
          </w:p>
        </w:tc>
        <w:tc>
          <w:tcPr>
            <w:tcW w:w="830" w:type="dxa"/>
            <w:tcBorders>
              <w:top w:val="nil"/>
              <w:left w:val="nil"/>
              <w:bottom w:val="single" w:sz="4" w:space="0" w:color="auto"/>
              <w:right w:val="single" w:sz="4" w:space="0" w:color="auto"/>
            </w:tcBorders>
            <w:shd w:val="clear" w:color="auto" w:fill="auto"/>
            <w:noWrap/>
            <w:vAlign w:val="center"/>
            <w:hideMark/>
          </w:tcPr>
          <w:p w14:paraId="390ECB04"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w:t>
            </w:r>
          </w:p>
        </w:tc>
        <w:tc>
          <w:tcPr>
            <w:tcW w:w="850" w:type="dxa"/>
            <w:tcBorders>
              <w:top w:val="nil"/>
              <w:left w:val="nil"/>
              <w:bottom w:val="single" w:sz="4" w:space="0" w:color="auto"/>
              <w:right w:val="single" w:sz="4" w:space="0" w:color="auto"/>
            </w:tcBorders>
            <w:shd w:val="clear" w:color="auto" w:fill="auto"/>
            <w:noWrap/>
            <w:vAlign w:val="center"/>
            <w:hideMark/>
          </w:tcPr>
          <w:p w14:paraId="078F34FE"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w:t>
            </w:r>
          </w:p>
        </w:tc>
        <w:tc>
          <w:tcPr>
            <w:tcW w:w="857" w:type="dxa"/>
            <w:tcBorders>
              <w:top w:val="nil"/>
              <w:left w:val="nil"/>
              <w:bottom w:val="single" w:sz="4" w:space="0" w:color="auto"/>
              <w:right w:val="single" w:sz="4" w:space="0" w:color="auto"/>
            </w:tcBorders>
            <w:shd w:val="clear" w:color="auto" w:fill="auto"/>
            <w:noWrap/>
            <w:vAlign w:val="center"/>
            <w:hideMark/>
          </w:tcPr>
          <w:p w14:paraId="1BF0B444"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1.93</w:t>
            </w:r>
          </w:p>
        </w:tc>
      </w:tr>
      <w:tr w:rsidR="0015721A" w:rsidRPr="00A51DED" w14:paraId="4E7D6A84" w14:textId="77777777" w:rsidTr="00A51DED">
        <w:trPr>
          <w:trHeight w:val="765"/>
        </w:trPr>
        <w:tc>
          <w:tcPr>
            <w:tcW w:w="844" w:type="dxa"/>
            <w:tcBorders>
              <w:top w:val="nil"/>
              <w:left w:val="single" w:sz="4" w:space="0" w:color="auto"/>
              <w:bottom w:val="single" w:sz="4" w:space="0" w:color="auto"/>
              <w:right w:val="single" w:sz="4" w:space="0" w:color="auto"/>
            </w:tcBorders>
            <w:shd w:val="clear" w:color="auto" w:fill="auto"/>
            <w:vAlign w:val="center"/>
            <w:hideMark/>
          </w:tcPr>
          <w:p w14:paraId="4EF6D436"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44" w:type="dxa"/>
            <w:vMerge/>
            <w:tcBorders>
              <w:top w:val="nil"/>
              <w:left w:val="single" w:sz="4" w:space="0" w:color="auto"/>
              <w:bottom w:val="single" w:sz="4" w:space="0" w:color="000000"/>
              <w:right w:val="single" w:sz="4" w:space="0" w:color="auto"/>
            </w:tcBorders>
            <w:vAlign w:val="center"/>
            <w:hideMark/>
          </w:tcPr>
          <w:p w14:paraId="6E380111"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1" w:type="dxa"/>
            <w:vMerge/>
            <w:tcBorders>
              <w:top w:val="nil"/>
              <w:left w:val="single" w:sz="4" w:space="0" w:color="auto"/>
              <w:bottom w:val="single" w:sz="4" w:space="0" w:color="auto"/>
              <w:right w:val="single" w:sz="4" w:space="0" w:color="auto"/>
            </w:tcBorders>
            <w:vAlign w:val="center"/>
            <w:hideMark/>
          </w:tcPr>
          <w:p w14:paraId="758DE721"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5FE8C3DD"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71" w:type="dxa"/>
            <w:vMerge/>
            <w:tcBorders>
              <w:top w:val="nil"/>
              <w:left w:val="single" w:sz="4" w:space="0" w:color="auto"/>
              <w:bottom w:val="single" w:sz="4" w:space="0" w:color="auto"/>
              <w:right w:val="single" w:sz="4" w:space="0" w:color="auto"/>
            </w:tcBorders>
            <w:vAlign w:val="center"/>
            <w:hideMark/>
          </w:tcPr>
          <w:p w14:paraId="7FAEDE42"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3" w:type="dxa"/>
            <w:vMerge/>
            <w:tcBorders>
              <w:top w:val="nil"/>
              <w:left w:val="single" w:sz="4" w:space="0" w:color="auto"/>
              <w:bottom w:val="single" w:sz="4" w:space="0" w:color="auto"/>
              <w:right w:val="single" w:sz="4" w:space="0" w:color="auto"/>
            </w:tcBorders>
            <w:vAlign w:val="center"/>
            <w:hideMark/>
          </w:tcPr>
          <w:p w14:paraId="7291762C"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4" w:type="dxa"/>
            <w:vMerge/>
            <w:tcBorders>
              <w:top w:val="nil"/>
              <w:left w:val="single" w:sz="4" w:space="0" w:color="auto"/>
              <w:bottom w:val="single" w:sz="4" w:space="0" w:color="auto"/>
              <w:right w:val="single" w:sz="4" w:space="0" w:color="auto"/>
            </w:tcBorders>
            <w:vAlign w:val="center"/>
            <w:hideMark/>
          </w:tcPr>
          <w:p w14:paraId="516F5AE9"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424" w:type="dxa"/>
            <w:tcBorders>
              <w:top w:val="nil"/>
              <w:left w:val="nil"/>
              <w:bottom w:val="single" w:sz="4" w:space="0" w:color="auto"/>
              <w:right w:val="single" w:sz="4" w:space="0" w:color="auto"/>
            </w:tcBorders>
            <w:shd w:val="clear" w:color="auto" w:fill="auto"/>
            <w:noWrap/>
            <w:vAlign w:val="center"/>
            <w:hideMark/>
          </w:tcPr>
          <w:p w14:paraId="37FF9042"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w:t>
            </w:r>
          </w:p>
        </w:tc>
        <w:tc>
          <w:tcPr>
            <w:tcW w:w="830" w:type="dxa"/>
            <w:tcBorders>
              <w:top w:val="nil"/>
              <w:left w:val="nil"/>
              <w:bottom w:val="single" w:sz="4" w:space="0" w:color="auto"/>
              <w:right w:val="single" w:sz="4" w:space="0" w:color="auto"/>
            </w:tcBorders>
            <w:shd w:val="clear" w:color="auto" w:fill="auto"/>
            <w:noWrap/>
            <w:vAlign w:val="center"/>
            <w:hideMark/>
          </w:tcPr>
          <w:p w14:paraId="624E183B"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-0.33</w:t>
            </w:r>
          </w:p>
        </w:tc>
        <w:tc>
          <w:tcPr>
            <w:tcW w:w="8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9046A9F"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9.15</w:t>
            </w:r>
          </w:p>
        </w:tc>
        <w:tc>
          <w:tcPr>
            <w:tcW w:w="857" w:type="dxa"/>
            <w:tcBorders>
              <w:top w:val="nil"/>
              <w:left w:val="nil"/>
              <w:bottom w:val="single" w:sz="4" w:space="0" w:color="auto"/>
              <w:right w:val="single" w:sz="4" w:space="0" w:color="auto"/>
            </w:tcBorders>
            <w:shd w:val="clear" w:color="auto" w:fill="auto"/>
            <w:noWrap/>
            <w:vAlign w:val="center"/>
            <w:hideMark/>
          </w:tcPr>
          <w:p w14:paraId="697B31C5"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-3.2</w:t>
            </w:r>
          </w:p>
        </w:tc>
      </w:tr>
      <w:tr w:rsidR="0015721A" w:rsidRPr="00A51DED" w14:paraId="3A7A16C5" w14:textId="77777777" w:rsidTr="00A51DED">
        <w:trPr>
          <w:trHeight w:val="765"/>
        </w:trPr>
        <w:tc>
          <w:tcPr>
            <w:tcW w:w="844" w:type="dxa"/>
            <w:tcBorders>
              <w:top w:val="nil"/>
              <w:left w:val="single" w:sz="4" w:space="0" w:color="auto"/>
              <w:bottom w:val="single" w:sz="4" w:space="0" w:color="auto"/>
              <w:right w:val="single" w:sz="4" w:space="0" w:color="auto"/>
            </w:tcBorders>
            <w:shd w:val="clear" w:color="auto" w:fill="auto"/>
            <w:vAlign w:val="center"/>
            <w:hideMark/>
          </w:tcPr>
          <w:p w14:paraId="76588F7C"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44" w:type="dxa"/>
            <w:vMerge/>
            <w:tcBorders>
              <w:top w:val="nil"/>
              <w:left w:val="single" w:sz="4" w:space="0" w:color="auto"/>
              <w:bottom w:val="single" w:sz="4" w:space="0" w:color="000000"/>
              <w:right w:val="single" w:sz="4" w:space="0" w:color="auto"/>
            </w:tcBorders>
            <w:vAlign w:val="center"/>
            <w:hideMark/>
          </w:tcPr>
          <w:p w14:paraId="3E858720"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1" w:type="dxa"/>
            <w:vMerge w:val="restart"/>
            <w:tcBorders>
              <w:top w:val="nil"/>
              <w:left w:val="single" w:sz="4" w:space="0" w:color="auto"/>
              <w:bottom w:val="single" w:sz="4" w:space="0" w:color="auto"/>
              <w:right w:val="single" w:sz="4" w:space="0" w:color="auto"/>
            </w:tcBorders>
            <w:shd w:val="clear" w:color="auto" w:fill="auto"/>
            <w:vAlign w:val="center"/>
            <w:hideMark/>
          </w:tcPr>
          <w:p w14:paraId="239DB2DD"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UL</w:t>
            </w:r>
          </w:p>
        </w:tc>
        <w:tc>
          <w:tcPr>
            <w:tcW w:w="1186" w:type="dxa"/>
            <w:tcBorders>
              <w:top w:val="nil"/>
              <w:left w:val="nil"/>
              <w:bottom w:val="single" w:sz="4" w:space="0" w:color="auto"/>
              <w:right w:val="single" w:sz="4" w:space="0" w:color="auto"/>
            </w:tcBorders>
            <w:shd w:val="clear" w:color="auto" w:fill="auto"/>
            <w:vAlign w:val="center"/>
            <w:hideMark/>
          </w:tcPr>
          <w:p w14:paraId="73E392C3"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71" w:type="dxa"/>
            <w:vMerge/>
            <w:tcBorders>
              <w:top w:val="nil"/>
              <w:left w:val="single" w:sz="4" w:space="0" w:color="auto"/>
              <w:bottom w:val="single" w:sz="4" w:space="0" w:color="auto"/>
              <w:right w:val="single" w:sz="4" w:space="0" w:color="auto"/>
            </w:tcBorders>
            <w:vAlign w:val="center"/>
            <w:hideMark/>
          </w:tcPr>
          <w:p w14:paraId="7C8231CE"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3" w:type="dxa"/>
            <w:vMerge/>
            <w:tcBorders>
              <w:top w:val="nil"/>
              <w:left w:val="single" w:sz="4" w:space="0" w:color="auto"/>
              <w:bottom w:val="single" w:sz="4" w:space="0" w:color="auto"/>
              <w:right w:val="single" w:sz="4" w:space="0" w:color="auto"/>
            </w:tcBorders>
            <w:vAlign w:val="center"/>
            <w:hideMark/>
          </w:tcPr>
          <w:p w14:paraId="29BDAC7D"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4" w:type="dxa"/>
            <w:vMerge/>
            <w:tcBorders>
              <w:top w:val="nil"/>
              <w:left w:val="single" w:sz="4" w:space="0" w:color="auto"/>
              <w:bottom w:val="single" w:sz="4" w:space="0" w:color="auto"/>
              <w:right w:val="single" w:sz="4" w:space="0" w:color="auto"/>
            </w:tcBorders>
            <w:vAlign w:val="center"/>
            <w:hideMark/>
          </w:tcPr>
          <w:p w14:paraId="6C8F0C9A"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424" w:type="dxa"/>
            <w:tcBorders>
              <w:top w:val="nil"/>
              <w:left w:val="nil"/>
              <w:bottom w:val="single" w:sz="4" w:space="0" w:color="auto"/>
              <w:right w:val="single" w:sz="4" w:space="0" w:color="auto"/>
            </w:tcBorders>
            <w:shd w:val="clear" w:color="auto" w:fill="auto"/>
            <w:noWrap/>
            <w:vAlign w:val="center"/>
            <w:hideMark/>
          </w:tcPr>
          <w:p w14:paraId="46E35DF1"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9.38</w:t>
            </w:r>
          </w:p>
        </w:tc>
        <w:tc>
          <w:tcPr>
            <w:tcW w:w="830" w:type="dxa"/>
            <w:tcBorders>
              <w:top w:val="nil"/>
              <w:left w:val="nil"/>
              <w:bottom w:val="single" w:sz="4" w:space="0" w:color="auto"/>
              <w:right w:val="single" w:sz="4" w:space="0" w:color="auto"/>
            </w:tcBorders>
            <w:shd w:val="clear" w:color="auto" w:fill="auto"/>
            <w:noWrap/>
            <w:vAlign w:val="center"/>
            <w:hideMark/>
          </w:tcPr>
          <w:p w14:paraId="1B97B2E8"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1.35</w:t>
            </w:r>
          </w:p>
        </w:tc>
        <w:tc>
          <w:tcPr>
            <w:tcW w:w="8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5B72548"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5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E1DFB11"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13.35</w:t>
            </w:r>
          </w:p>
        </w:tc>
      </w:tr>
      <w:tr w:rsidR="0015721A" w:rsidRPr="00A51DED" w14:paraId="15CE5A1C" w14:textId="77777777" w:rsidTr="00A51DED">
        <w:trPr>
          <w:trHeight w:val="765"/>
        </w:trPr>
        <w:tc>
          <w:tcPr>
            <w:tcW w:w="844" w:type="dxa"/>
            <w:tcBorders>
              <w:top w:val="nil"/>
              <w:left w:val="single" w:sz="4" w:space="0" w:color="auto"/>
              <w:bottom w:val="single" w:sz="4" w:space="0" w:color="auto"/>
              <w:right w:val="single" w:sz="4" w:space="0" w:color="auto"/>
            </w:tcBorders>
            <w:shd w:val="clear" w:color="auto" w:fill="auto"/>
            <w:vAlign w:val="center"/>
            <w:hideMark/>
          </w:tcPr>
          <w:p w14:paraId="1A33766D"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44" w:type="dxa"/>
            <w:vMerge/>
            <w:tcBorders>
              <w:top w:val="nil"/>
              <w:left w:val="single" w:sz="4" w:space="0" w:color="auto"/>
              <w:bottom w:val="single" w:sz="4" w:space="0" w:color="000000"/>
              <w:right w:val="single" w:sz="4" w:space="0" w:color="auto"/>
            </w:tcBorders>
            <w:vAlign w:val="center"/>
            <w:hideMark/>
          </w:tcPr>
          <w:p w14:paraId="4352F636"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1" w:type="dxa"/>
            <w:vMerge/>
            <w:tcBorders>
              <w:top w:val="nil"/>
              <w:left w:val="single" w:sz="4" w:space="0" w:color="auto"/>
              <w:bottom w:val="single" w:sz="4" w:space="0" w:color="auto"/>
              <w:right w:val="single" w:sz="4" w:space="0" w:color="auto"/>
            </w:tcBorders>
            <w:vAlign w:val="center"/>
            <w:hideMark/>
          </w:tcPr>
          <w:p w14:paraId="60BC3B73"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30418FB5" w14:textId="77777777" w:rsidR="00A51DED" w:rsidRPr="00B334F7" w:rsidRDefault="00A51DED" w:rsidP="00A51DE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71" w:type="dxa"/>
            <w:vMerge/>
            <w:tcBorders>
              <w:top w:val="nil"/>
              <w:left w:val="single" w:sz="4" w:space="0" w:color="auto"/>
              <w:bottom w:val="single" w:sz="4" w:space="0" w:color="auto"/>
              <w:right w:val="single" w:sz="4" w:space="0" w:color="auto"/>
            </w:tcBorders>
            <w:vAlign w:val="center"/>
            <w:hideMark/>
          </w:tcPr>
          <w:p w14:paraId="5E32DFEE"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3" w:type="dxa"/>
            <w:vMerge/>
            <w:tcBorders>
              <w:top w:val="nil"/>
              <w:left w:val="single" w:sz="4" w:space="0" w:color="auto"/>
              <w:bottom w:val="single" w:sz="4" w:space="0" w:color="auto"/>
              <w:right w:val="single" w:sz="4" w:space="0" w:color="auto"/>
            </w:tcBorders>
            <w:vAlign w:val="center"/>
            <w:hideMark/>
          </w:tcPr>
          <w:p w14:paraId="60C58ABF"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4" w:type="dxa"/>
            <w:vMerge/>
            <w:tcBorders>
              <w:top w:val="nil"/>
              <w:left w:val="single" w:sz="4" w:space="0" w:color="auto"/>
              <w:bottom w:val="single" w:sz="4" w:space="0" w:color="auto"/>
              <w:right w:val="single" w:sz="4" w:space="0" w:color="auto"/>
            </w:tcBorders>
            <w:vAlign w:val="center"/>
            <w:hideMark/>
          </w:tcPr>
          <w:p w14:paraId="1568A0B3" w14:textId="77777777" w:rsidR="00A51DED" w:rsidRPr="00B334F7" w:rsidRDefault="00A51DED" w:rsidP="00A51DE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424" w:type="dxa"/>
            <w:tcBorders>
              <w:top w:val="nil"/>
              <w:left w:val="nil"/>
              <w:bottom w:val="single" w:sz="4" w:space="0" w:color="auto"/>
              <w:right w:val="single" w:sz="4" w:space="0" w:color="auto"/>
            </w:tcBorders>
            <w:shd w:val="clear" w:color="auto" w:fill="auto"/>
            <w:noWrap/>
            <w:vAlign w:val="center"/>
            <w:hideMark/>
          </w:tcPr>
          <w:p w14:paraId="69E9A84D"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159.57</w:t>
            </w:r>
          </w:p>
        </w:tc>
        <w:tc>
          <w:tcPr>
            <w:tcW w:w="830" w:type="dxa"/>
            <w:tcBorders>
              <w:top w:val="nil"/>
              <w:left w:val="nil"/>
              <w:bottom w:val="single" w:sz="4" w:space="0" w:color="auto"/>
              <w:right w:val="single" w:sz="4" w:space="0" w:color="auto"/>
            </w:tcBorders>
            <w:shd w:val="clear" w:color="auto" w:fill="auto"/>
            <w:noWrap/>
            <w:vAlign w:val="center"/>
            <w:hideMark/>
          </w:tcPr>
          <w:p w14:paraId="43EA716E"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7.93</w:t>
            </w:r>
          </w:p>
        </w:tc>
        <w:tc>
          <w:tcPr>
            <w:tcW w:w="8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40E728A"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5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94CC8FD" w14:textId="77777777" w:rsidR="00A51DED" w:rsidRPr="00B334F7" w:rsidRDefault="00A51DED" w:rsidP="00A51DE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50.44</w:t>
            </w:r>
          </w:p>
        </w:tc>
      </w:tr>
    </w:tbl>
    <w:p w14:paraId="54C11493" w14:textId="41BE383E" w:rsidR="003A3583" w:rsidRDefault="003A3583" w:rsidP="003A3583">
      <w:pPr>
        <w:pStyle w:val="Caption"/>
        <w:keepNext/>
      </w:pPr>
    </w:p>
    <w:p w14:paraId="48B7D3AB" w14:textId="5FB3DFFC" w:rsidR="003A3583" w:rsidRDefault="003A3583" w:rsidP="003A3583">
      <w:pPr>
        <w:rPr>
          <w:lang w:val="en-US"/>
        </w:rPr>
      </w:pPr>
      <w:r>
        <w:rPr>
          <w:lang w:val="en-US"/>
        </w:rPr>
        <w:t xml:space="preserve">Based on the results above, the following </w:t>
      </w:r>
      <w:r w:rsidR="004665D5">
        <w:rPr>
          <w:lang w:val="en-US"/>
        </w:rPr>
        <w:t xml:space="preserve">is </w:t>
      </w:r>
      <w:r>
        <w:rPr>
          <w:lang w:val="en-US"/>
        </w:rPr>
        <w:t>proposed for this scenario and case:</w:t>
      </w:r>
    </w:p>
    <w:p w14:paraId="4F401725" w14:textId="79417980" w:rsidR="003A3583" w:rsidRPr="006B4412" w:rsidRDefault="003A3583" w:rsidP="003A3583">
      <w:pPr>
        <w:rPr>
          <w:b/>
          <w:bCs/>
        </w:rPr>
      </w:pPr>
      <w:r w:rsidRPr="009D3E26">
        <w:rPr>
          <w:b/>
          <w:bCs/>
          <w:lang w:val="en-US"/>
        </w:rPr>
        <w:t xml:space="preserve">Proposal </w:t>
      </w:r>
      <w:r w:rsidR="00B34360">
        <w:rPr>
          <w:b/>
          <w:bCs/>
          <w:lang w:val="en-US"/>
        </w:rPr>
        <w:t>1</w:t>
      </w:r>
      <w:r w:rsidR="005C792F">
        <w:rPr>
          <w:b/>
          <w:bCs/>
          <w:lang w:val="en-US"/>
        </w:rPr>
        <w:t>6</w:t>
      </w:r>
      <w:r w:rsidRPr="009D3E26">
        <w:rPr>
          <w:b/>
          <w:bCs/>
          <w:lang w:val="en-US"/>
        </w:rPr>
        <w:t xml:space="preserve">: </w:t>
      </w:r>
      <w:r w:rsidRPr="006B4412">
        <w:rPr>
          <w:b/>
          <w:bCs/>
        </w:rPr>
        <w:t xml:space="preserve">The </w:t>
      </w:r>
      <w:r>
        <w:rPr>
          <w:b/>
          <w:bCs/>
        </w:rPr>
        <w:t xml:space="preserve">SBFD DL </w:t>
      </w:r>
      <w:r w:rsidRPr="006B4412">
        <w:rPr>
          <w:b/>
          <w:bCs/>
        </w:rPr>
        <w:t>performance degradation for UM</w:t>
      </w:r>
      <w:r w:rsidR="00644B6A">
        <w:rPr>
          <w:b/>
          <w:bCs/>
        </w:rPr>
        <w:t>a</w:t>
      </w:r>
      <w:r w:rsidRPr="006B4412">
        <w:rPr>
          <w:b/>
          <w:bCs/>
        </w:rPr>
        <w:t xml:space="preserve">-to-UMi Case </w:t>
      </w:r>
      <w:r>
        <w:rPr>
          <w:b/>
          <w:bCs/>
        </w:rPr>
        <w:t>3</w:t>
      </w:r>
      <w:r w:rsidRPr="006B4412">
        <w:rPr>
          <w:b/>
          <w:bCs/>
        </w:rPr>
        <w:t xml:space="preserve"> is acceptable when </w:t>
      </w:r>
      <w:r>
        <w:rPr>
          <w:b/>
          <w:bCs/>
        </w:rPr>
        <w:t>TDD DL is adopted in the aggressor network.</w:t>
      </w:r>
    </w:p>
    <w:p w14:paraId="68C4BFFB" w14:textId="5FDF24D3" w:rsidR="003A3583" w:rsidRDefault="003A3583" w:rsidP="003A3583">
      <w:pPr>
        <w:rPr>
          <w:lang w:val="en-US"/>
        </w:rPr>
      </w:pPr>
      <w:r w:rsidRPr="009D3E26">
        <w:rPr>
          <w:b/>
          <w:bCs/>
          <w:lang w:val="en-US"/>
        </w:rPr>
        <w:t xml:space="preserve">Proposal </w:t>
      </w:r>
      <w:r w:rsidR="00B34360">
        <w:rPr>
          <w:b/>
          <w:bCs/>
          <w:lang w:val="en-US"/>
        </w:rPr>
        <w:t>1</w:t>
      </w:r>
      <w:r w:rsidR="005C792F">
        <w:rPr>
          <w:b/>
          <w:bCs/>
          <w:lang w:val="en-US"/>
        </w:rPr>
        <w:t>7</w:t>
      </w:r>
      <w:r w:rsidRPr="009D3E26">
        <w:rPr>
          <w:b/>
          <w:bCs/>
          <w:lang w:val="en-US"/>
        </w:rPr>
        <w:t xml:space="preserve">: </w:t>
      </w:r>
      <w:r w:rsidRPr="006B4412">
        <w:rPr>
          <w:b/>
          <w:bCs/>
        </w:rPr>
        <w:t xml:space="preserve">The </w:t>
      </w:r>
      <w:r>
        <w:rPr>
          <w:b/>
          <w:bCs/>
        </w:rPr>
        <w:t xml:space="preserve">SBFD UL </w:t>
      </w:r>
      <w:r w:rsidRPr="006B4412">
        <w:rPr>
          <w:b/>
          <w:bCs/>
        </w:rPr>
        <w:t>performance degradation for UM</w:t>
      </w:r>
      <w:r w:rsidR="00644B6A">
        <w:rPr>
          <w:b/>
          <w:bCs/>
        </w:rPr>
        <w:t>a</w:t>
      </w:r>
      <w:r w:rsidRPr="006B4412">
        <w:rPr>
          <w:b/>
          <w:bCs/>
        </w:rPr>
        <w:t xml:space="preserve">-to-UMi Case </w:t>
      </w:r>
      <w:r>
        <w:rPr>
          <w:b/>
          <w:bCs/>
        </w:rPr>
        <w:t>3</w:t>
      </w:r>
      <w:r w:rsidRPr="006B4412">
        <w:rPr>
          <w:b/>
          <w:bCs/>
        </w:rPr>
        <w:t xml:space="preserve"> is </w:t>
      </w:r>
      <w:r>
        <w:rPr>
          <w:b/>
          <w:bCs/>
        </w:rPr>
        <w:t xml:space="preserve">not </w:t>
      </w:r>
      <w:r w:rsidRPr="006B4412">
        <w:rPr>
          <w:b/>
          <w:bCs/>
        </w:rPr>
        <w:t xml:space="preserve">acceptable when </w:t>
      </w:r>
      <w:r>
        <w:rPr>
          <w:b/>
          <w:bCs/>
        </w:rPr>
        <w:t>TDD DL is adopted in the aggressor network</w:t>
      </w:r>
      <w:r w:rsidR="002C5C3B">
        <w:rPr>
          <w:b/>
          <w:bCs/>
        </w:rPr>
        <w:t>.</w:t>
      </w:r>
    </w:p>
    <w:p w14:paraId="3BB91597" w14:textId="77777777" w:rsidR="003A3583" w:rsidRPr="003A3583" w:rsidRDefault="003A3583" w:rsidP="00B334F7">
      <w:pPr>
        <w:rPr>
          <w:lang w:val="en-US"/>
        </w:rPr>
      </w:pPr>
    </w:p>
    <w:p w14:paraId="023FF5DA" w14:textId="112E2590" w:rsidR="00BF50E7" w:rsidRDefault="00BF50E7" w:rsidP="00BF50E7">
      <w:pPr>
        <w:pStyle w:val="Heading4"/>
        <w:ind w:left="0" w:firstLine="0"/>
        <w:rPr>
          <w:lang w:val="en-US"/>
        </w:rPr>
      </w:pPr>
      <w:r w:rsidRPr="00FC6DDC">
        <w:rPr>
          <w:lang w:val="en-US"/>
        </w:rPr>
        <w:t>3.</w:t>
      </w:r>
      <w:r w:rsidR="00990225" w:rsidRPr="00FC6DDC">
        <w:rPr>
          <w:lang w:val="en-US"/>
        </w:rPr>
        <w:t>3</w:t>
      </w:r>
      <w:r w:rsidRPr="00FC6DDC">
        <w:rPr>
          <w:lang w:val="en-US"/>
        </w:rPr>
        <w:t>.4 Scenario 5: FR1 UMi-to-UMi</w:t>
      </w:r>
    </w:p>
    <w:p w14:paraId="2425B365" w14:textId="60117BB7" w:rsidR="00F064BC" w:rsidRDefault="00A32014" w:rsidP="006879D7">
      <w:pPr>
        <w:rPr>
          <w:lang w:val="en-US"/>
        </w:rPr>
      </w:pPr>
      <w:r>
        <w:rPr>
          <w:lang w:val="en-US"/>
        </w:rPr>
        <w:fldChar w:fldCharType="begin"/>
      </w:r>
      <w:r>
        <w:rPr>
          <w:lang w:val="en-US"/>
        </w:rPr>
        <w:instrText xml:space="preserve"> REF _Ref146580611 \h </w:instrText>
      </w:r>
      <w:r>
        <w:rPr>
          <w:lang w:val="en-US"/>
        </w:rPr>
      </w:r>
      <w:r>
        <w:rPr>
          <w:lang w:val="en-US"/>
        </w:rPr>
        <w:fldChar w:fldCharType="separate"/>
      </w:r>
      <w:r w:rsidR="004D336C">
        <w:t xml:space="preserve">Figure </w:t>
      </w:r>
      <w:r w:rsidR="004D336C">
        <w:rPr>
          <w:noProof/>
        </w:rPr>
        <w:t>14</w:t>
      </w:r>
      <w:r>
        <w:rPr>
          <w:lang w:val="en-US"/>
        </w:rPr>
        <w:fldChar w:fldCharType="end"/>
      </w:r>
      <w:r>
        <w:rPr>
          <w:lang w:val="en-US"/>
        </w:rPr>
        <w:t xml:space="preserve"> </w:t>
      </w:r>
      <w:r w:rsidR="008D24A4">
        <w:rPr>
          <w:lang w:val="en-US"/>
        </w:rPr>
        <w:t xml:space="preserve">shows the </w:t>
      </w:r>
      <w:r w:rsidR="008107CA">
        <w:rPr>
          <w:lang w:val="en-US"/>
        </w:rPr>
        <w:t>U</w:t>
      </w:r>
      <w:r w:rsidR="008D24A4">
        <w:rPr>
          <w:lang w:val="en-US"/>
        </w:rPr>
        <w:t xml:space="preserve">L performance of SBFD when there is no aggressor network and when SBFD coexists with TDD </w:t>
      </w:r>
      <w:r w:rsidR="00F40BB3">
        <w:rPr>
          <w:lang w:val="en-US"/>
        </w:rPr>
        <w:t>D</w:t>
      </w:r>
      <w:r w:rsidR="008D24A4">
        <w:rPr>
          <w:lang w:val="en-US"/>
        </w:rPr>
        <w:t>L.</w:t>
      </w:r>
      <w:r w:rsidR="00F064BC">
        <w:rPr>
          <w:lang w:val="en-US"/>
        </w:rPr>
        <w:t xml:space="preserve"> </w:t>
      </w:r>
      <w:r w:rsidR="00454765">
        <w:rPr>
          <w:lang w:val="en-US"/>
        </w:rPr>
        <w:t xml:space="preserve">It is noted that the </w:t>
      </w:r>
      <w:r w:rsidR="00E406AA">
        <w:rPr>
          <w:lang w:val="en-US"/>
        </w:rPr>
        <w:t>5</w:t>
      </w:r>
      <w:r w:rsidR="00E406AA" w:rsidRPr="00B334F7">
        <w:rPr>
          <w:vertAlign w:val="superscript"/>
          <w:lang w:val="en-US"/>
        </w:rPr>
        <w:t>th</w:t>
      </w:r>
      <w:r w:rsidR="00E406AA">
        <w:rPr>
          <w:lang w:val="en-US"/>
        </w:rPr>
        <w:t xml:space="preserve"> UL SINR is lower than the minimum required UL SINR even without ACI. Consequently, the UL throughput at the 5</w:t>
      </w:r>
      <w:r w:rsidR="00E406AA" w:rsidRPr="00B334F7">
        <w:rPr>
          <w:vertAlign w:val="superscript"/>
          <w:lang w:val="en-US"/>
        </w:rPr>
        <w:t>th</w:t>
      </w:r>
      <w:r w:rsidR="00E406AA">
        <w:rPr>
          <w:lang w:val="en-US"/>
        </w:rPr>
        <w:t xml:space="preserve"> percentile is 0 for all the considered cases. Moreover, with 10% grid offset and TDD DL as aggressor, the victim BS receiver is blocked. </w:t>
      </w:r>
      <w:r w:rsidR="00555087">
        <w:rPr>
          <w:lang w:val="en-US"/>
        </w:rPr>
        <w:t>The bar corresponding to 10% GS at the 5</w:t>
      </w:r>
      <w:r w:rsidR="00555087" w:rsidRPr="00B334F7">
        <w:rPr>
          <w:vertAlign w:val="superscript"/>
          <w:lang w:val="en-US"/>
        </w:rPr>
        <w:t>th</w:t>
      </w:r>
      <w:r w:rsidR="00555087">
        <w:rPr>
          <w:lang w:val="en-US"/>
        </w:rPr>
        <w:t xml:space="preserve"> percentile UL SINR is not included for </w:t>
      </w:r>
      <w:r w:rsidR="00A47BE5">
        <w:rPr>
          <w:lang w:val="en-US"/>
        </w:rPr>
        <w:t xml:space="preserve">illustration purposes. </w:t>
      </w:r>
      <w:r w:rsidR="00E406AA">
        <w:rPr>
          <w:lang w:val="en-US"/>
        </w:rPr>
        <w:t>On the 50</w:t>
      </w:r>
      <w:r w:rsidR="00E406AA" w:rsidRPr="00B334F7">
        <w:rPr>
          <w:vertAlign w:val="superscript"/>
          <w:lang w:val="en-US"/>
        </w:rPr>
        <w:t>th</w:t>
      </w:r>
      <w:r w:rsidR="00E406AA">
        <w:rPr>
          <w:lang w:val="en-US"/>
        </w:rPr>
        <w:t xml:space="preserve"> percentile, the effect of the grid offset indicates that </w:t>
      </w:r>
      <w:r w:rsidR="006C2B61">
        <w:rPr>
          <w:lang w:val="en-US"/>
        </w:rPr>
        <w:t>the power of the BS-to-BS CLI becomes higher with 10% grid shift</w:t>
      </w:r>
      <w:r w:rsidR="00A47BE5">
        <w:rPr>
          <w:lang w:val="en-US"/>
        </w:rPr>
        <w:t xml:space="preserve"> and the average UL throughput is considerably </w:t>
      </w:r>
      <w:r w:rsidR="00656F27">
        <w:rPr>
          <w:lang w:val="en-US"/>
        </w:rPr>
        <w:t>degraded</w:t>
      </w:r>
      <w:r w:rsidR="00A47BE5">
        <w:rPr>
          <w:lang w:val="en-US"/>
        </w:rPr>
        <w:t>.</w:t>
      </w:r>
    </w:p>
    <w:p w14:paraId="4F8DCA3A" w14:textId="77777777" w:rsidR="006323C1" w:rsidRDefault="00F61654" w:rsidP="00B334F7">
      <w:pPr>
        <w:keepNext/>
        <w:jc w:val="center"/>
      </w:pPr>
      <w:r w:rsidRPr="00F61654">
        <w:rPr>
          <w:noProof/>
        </w:rPr>
        <w:lastRenderedPageBreak/>
        <w:drawing>
          <wp:inline distT="0" distB="0" distL="0" distR="0" wp14:anchorId="407BDF34" wp14:editId="7E583FDF">
            <wp:extent cx="4607965" cy="3439929"/>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rotWithShape="1">
                    <a:blip r:embed="rId26">
                      <a:extLst>
                        <a:ext uri="{28A0092B-C50C-407E-A947-70E740481C1C}">
                          <a14:useLocalDpi xmlns:a14="http://schemas.microsoft.com/office/drawing/2010/main" val="0"/>
                        </a:ext>
                      </a:extLst>
                    </a:blip>
                    <a:srcRect l="6699" t="3419" r="7410" b="4946"/>
                    <a:stretch/>
                  </pic:blipFill>
                  <pic:spPr bwMode="auto">
                    <a:xfrm>
                      <a:off x="0" y="0"/>
                      <a:ext cx="4611563" cy="3442615"/>
                    </a:xfrm>
                    <a:prstGeom prst="rect">
                      <a:avLst/>
                    </a:prstGeom>
                    <a:noFill/>
                    <a:ln>
                      <a:noFill/>
                    </a:ln>
                    <a:extLst>
                      <a:ext uri="{53640926-AAD7-44D8-BBD7-CCE9431645EC}">
                        <a14:shadowObscured xmlns:a14="http://schemas.microsoft.com/office/drawing/2010/main"/>
                      </a:ext>
                    </a:extLst>
                  </pic:spPr>
                </pic:pic>
              </a:graphicData>
            </a:graphic>
          </wp:inline>
        </w:drawing>
      </w:r>
    </w:p>
    <w:p w14:paraId="44690772" w14:textId="548F7B31" w:rsidR="00F064BC" w:rsidRDefault="006323C1" w:rsidP="00B334F7">
      <w:pPr>
        <w:pStyle w:val="Caption"/>
        <w:jc w:val="center"/>
        <w:rPr>
          <w:lang w:val="en-US"/>
        </w:rPr>
      </w:pPr>
      <w:bookmarkStart w:id="39" w:name="_Ref146580611"/>
      <w:r>
        <w:t xml:space="preserve">Figure </w:t>
      </w:r>
      <w:r>
        <w:fldChar w:fldCharType="begin"/>
      </w:r>
      <w:r>
        <w:instrText xml:space="preserve"> SEQ Figure \* ARABIC </w:instrText>
      </w:r>
      <w:r>
        <w:fldChar w:fldCharType="separate"/>
      </w:r>
      <w:r w:rsidR="004D336C">
        <w:rPr>
          <w:noProof/>
        </w:rPr>
        <w:t>14</w:t>
      </w:r>
      <w:r>
        <w:fldChar w:fldCharType="end"/>
      </w:r>
      <w:bookmarkEnd w:id="39"/>
      <w:r>
        <w:t xml:space="preserve">. </w:t>
      </w:r>
      <w:r w:rsidR="00BB0B0F">
        <w:t>Comparison of UL SINR and UL throughput for Case 3 UMi-to-UMi scenario</w:t>
      </w:r>
    </w:p>
    <w:p w14:paraId="7AE64A88" w14:textId="77777777" w:rsidR="00F064BC" w:rsidRDefault="00F064BC" w:rsidP="006879D7">
      <w:pPr>
        <w:rPr>
          <w:lang w:val="en-US"/>
        </w:rPr>
      </w:pPr>
    </w:p>
    <w:p w14:paraId="004C9063" w14:textId="63F7AEB2" w:rsidR="00293F9A" w:rsidRDefault="005300DD" w:rsidP="006879D7">
      <w:pPr>
        <w:rPr>
          <w:lang w:val="en-US"/>
        </w:rPr>
      </w:pPr>
      <w:r>
        <w:rPr>
          <w:lang w:val="en-US"/>
        </w:rPr>
        <w:fldChar w:fldCharType="begin"/>
      </w:r>
      <w:r>
        <w:rPr>
          <w:lang w:val="en-US"/>
        </w:rPr>
        <w:instrText xml:space="preserve"> REF _Ref146580284 \h </w:instrText>
      </w:r>
      <w:r>
        <w:rPr>
          <w:lang w:val="en-US"/>
        </w:rPr>
      </w:r>
      <w:r>
        <w:rPr>
          <w:lang w:val="en-US"/>
        </w:rPr>
        <w:fldChar w:fldCharType="separate"/>
      </w:r>
      <w:r w:rsidR="004D336C">
        <w:t xml:space="preserve">Table </w:t>
      </w:r>
      <w:r w:rsidR="004D336C">
        <w:rPr>
          <w:noProof/>
        </w:rPr>
        <w:t>14</w:t>
      </w:r>
      <w:r>
        <w:rPr>
          <w:lang w:val="en-US"/>
        </w:rPr>
        <w:fldChar w:fldCharType="end"/>
      </w:r>
      <w:r>
        <w:rPr>
          <w:lang w:val="en-US"/>
        </w:rPr>
        <w:t xml:space="preserve"> </w:t>
      </w:r>
      <w:r w:rsidR="00293F9A">
        <w:rPr>
          <w:lang w:val="en-US"/>
        </w:rPr>
        <w:t>includes the coexistence performance of SBFD in both DL and UL when TDD DL acts as the aggressor network. The table includes different grid offsets and highlights the throughput degradation values above 5%.</w:t>
      </w:r>
      <w:r w:rsidR="00447223">
        <w:rPr>
          <w:lang w:val="en-US"/>
        </w:rPr>
        <w:t xml:space="preserve"> The first observation is that SBFD DL coexists well with TDD DL, which indicates that the </w:t>
      </w:r>
      <w:r w:rsidR="00BB0B0F">
        <w:rPr>
          <w:lang w:val="en-US"/>
        </w:rPr>
        <w:t xml:space="preserve">BS-to-UE ACI is manageable. </w:t>
      </w:r>
      <w:r w:rsidR="00C76DA2">
        <w:rPr>
          <w:lang w:val="en-US"/>
        </w:rPr>
        <w:t>Moreover, the effect of the gri</w:t>
      </w:r>
      <w:r w:rsidR="005574F9">
        <w:rPr>
          <w:lang w:val="en-US"/>
        </w:rPr>
        <w:t>d</w:t>
      </w:r>
      <w:r w:rsidR="00C76DA2">
        <w:rPr>
          <w:lang w:val="en-US"/>
        </w:rPr>
        <w:t xml:space="preserve"> offset is </w:t>
      </w:r>
      <w:r w:rsidR="00B71E1A">
        <w:rPr>
          <w:lang w:val="en-US"/>
        </w:rPr>
        <w:t>minimum</w:t>
      </w:r>
      <w:r w:rsidR="00DA06FE">
        <w:rPr>
          <w:lang w:val="en-US"/>
        </w:rPr>
        <w:t xml:space="preserve"> for victim SBFD DL</w:t>
      </w:r>
      <w:r w:rsidR="00B71E1A">
        <w:rPr>
          <w:lang w:val="en-US"/>
        </w:rPr>
        <w:t xml:space="preserve">. On the other hand, the BS-to-BS ACI becomes a problem when </w:t>
      </w:r>
      <w:r w:rsidR="008267E7">
        <w:rPr>
          <w:lang w:val="en-US"/>
        </w:rPr>
        <w:t>analyzing the UL SBFD performance while coexisting with TDD DL. The problem becomes more critical for 10% grid offset for which the UL SBFD throughput becomes 0</w:t>
      </w:r>
      <w:r w:rsidR="00170335">
        <w:rPr>
          <w:lang w:val="en-US"/>
        </w:rPr>
        <w:t xml:space="preserve"> at 5</w:t>
      </w:r>
      <w:r w:rsidR="00170335" w:rsidRPr="00B334F7">
        <w:rPr>
          <w:vertAlign w:val="superscript"/>
          <w:lang w:val="en-US"/>
        </w:rPr>
        <w:t>th</w:t>
      </w:r>
      <w:r w:rsidR="00170335">
        <w:rPr>
          <w:lang w:val="en-US"/>
        </w:rPr>
        <w:t xml:space="preserve"> percentile and degrades above 25% on average.</w:t>
      </w:r>
    </w:p>
    <w:p w14:paraId="6C5BC52B" w14:textId="40620B15" w:rsidR="005574F9" w:rsidRDefault="005574F9" w:rsidP="00B334F7">
      <w:pPr>
        <w:pStyle w:val="Caption"/>
        <w:keepNext/>
      </w:pPr>
      <w:bookmarkStart w:id="40" w:name="_Ref146580284"/>
      <w:r>
        <w:t xml:space="preserve">Table </w:t>
      </w:r>
      <w:r>
        <w:fldChar w:fldCharType="begin"/>
      </w:r>
      <w:r>
        <w:instrText xml:space="preserve"> SEQ Table \* ARABIC </w:instrText>
      </w:r>
      <w:r>
        <w:fldChar w:fldCharType="separate"/>
      </w:r>
      <w:r w:rsidR="004D336C">
        <w:rPr>
          <w:noProof/>
        </w:rPr>
        <w:t>14</w:t>
      </w:r>
      <w:r>
        <w:fldChar w:fldCharType="end"/>
      </w:r>
      <w:bookmarkEnd w:id="40"/>
      <w:r>
        <w:t>. Performance summary for Case 3 UMi-to-UMi scenario</w:t>
      </w:r>
    </w:p>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910"/>
        <w:gridCol w:w="820"/>
        <w:gridCol w:w="1141"/>
        <w:gridCol w:w="820"/>
        <w:gridCol w:w="841"/>
        <w:gridCol w:w="910"/>
        <w:gridCol w:w="1352"/>
        <w:gridCol w:w="783"/>
        <w:gridCol w:w="810"/>
        <w:gridCol w:w="819"/>
      </w:tblGrid>
      <w:tr w:rsidR="004D0D3D" w:rsidRPr="004D0D3D" w14:paraId="35C7D2FC" w14:textId="77777777" w:rsidTr="004D0D3D">
        <w:trPr>
          <w:trHeight w:val="317"/>
        </w:trPr>
        <w:tc>
          <w:tcPr>
            <w:tcW w:w="9994" w:type="dxa"/>
            <w:gridSpan w:val="11"/>
            <w:shd w:val="clear" w:color="auto" w:fill="auto"/>
            <w:vAlign w:val="center"/>
            <w:hideMark/>
          </w:tcPr>
          <w:p w14:paraId="70F06BC4"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5: FR1 UMi-to-UMi</w:t>
            </w:r>
            <w:r w:rsidRPr="00B334F7">
              <w:rPr>
                <w:rFonts w:ascii="Times New Roman" w:eastAsia="Times New Roman" w:hAnsi="Times New Roman" w:cs="Times New Roman"/>
                <w:b/>
                <w:bCs/>
                <w:sz w:val="16"/>
                <w:szCs w:val="16"/>
                <w:lang w:val="en-US"/>
              </w:rPr>
              <w:br/>
              <w:t>Case 3: SBFD as victim with TDD DL as aggressor</w:t>
            </w:r>
          </w:p>
        </w:tc>
      </w:tr>
      <w:tr w:rsidR="00B65919" w:rsidRPr="004D0D3D" w14:paraId="5BE816AC" w14:textId="77777777" w:rsidTr="004D0D3D">
        <w:trPr>
          <w:trHeight w:val="302"/>
        </w:trPr>
        <w:tc>
          <w:tcPr>
            <w:tcW w:w="803" w:type="dxa"/>
            <w:vMerge w:val="restart"/>
            <w:shd w:val="clear" w:color="auto" w:fill="auto"/>
            <w:vAlign w:val="center"/>
            <w:hideMark/>
          </w:tcPr>
          <w:p w14:paraId="444CAE4E"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896" w:type="dxa"/>
            <w:vMerge w:val="restart"/>
            <w:shd w:val="clear" w:color="auto" w:fill="auto"/>
            <w:vAlign w:val="center"/>
            <w:hideMark/>
          </w:tcPr>
          <w:p w14:paraId="4CC7B90E"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30" w:type="dxa"/>
            <w:vMerge w:val="restart"/>
            <w:shd w:val="clear" w:color="auto" w:fill="auto"/>
            <w:vAlign w:val="center"/>
            <w:hideMark/>
          </w:tcPr>
          <w:p w14:paraId="25133C4F"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26" w:type="dxa"/>
            <w:vMerge w:val="restart"/>
            <w:shd w:val="clear" w:color="auto" w:fill="auto"/>
            <w:vAlign w:val="center"/>
            <w:hideMark/>
          </w:tcPr>
          <w:p w14:paraId="6DFD5D97"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30" w:type="dxa"/>
            <w:vMerge w:val="restart"/>
            <w:shd w:val="clear" w:color="auto" w:fill="auto"/>
            <w:vAlign w:val="center"/>
            <w:hideMark/>
          </w:tcPr>
          <w:p w14:paraId="2BFC6138"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48" w:type="dxa"/>
            <w:vMerge w:val="restart"/>
            <w:shd w:val="clear" w:color="auto" w:fill="auto"/>
            <w:vAlign w:val="center"/>
            <w:hideMark/>
          </w:tcPr>
          <w:p w14:paraId="0C2A6276"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897" w:type="dxa"/>
            <w:vMerge w:val="restart"/>
            <w:shd w:val="clear" w:color="auto" w:fill="auto"/>
            <w:vAlign w:val="center"/>
            <w:hideMark/>
          </w:tcPr>
          <w:p w14:paraId="510FF66C"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2135" w:type="dxa"/>
            <w:gridSpan w:val="2"/>
            <w:vMerge w:val="restart"/>
            <w:shd w:val="clear" w:color="auto" w:fill="auto"/>
            <w:vAlign w:val="center"/>
            <w:hideMark/>
          </w:tcPr>
          <w:p w14:paraId="6C6D77DB"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626" w:type="dxa"/>
            <w:gridSpan w:val="2"/>
            <w:vMerge w:val="restart"/>
            <w:shd w:val="clear" w:color="auto" w:fill="auto"/>
            <w:vAlign w:val="center"/>
            <w:hideMark/>
          </w:tcPr>
          <w:p w14:paraId="3E9BF89B"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B65919" w:rsidRPr="004D0D3D" w14:paraId="14D938D6" w14:textId="77777777" w:rsidTr="004D0D3D">
        <w:trPr>
          <w:trHeight w:val="302"/>
        </w:trPr>
        <w:tc>
          <w:tcPr>
            <w:tcW w:w="803" w:type="dxa"/>
            <w:vMerge/>
            <w:vAlign w:val="center"/>
            <w:hideMark/>
          </w:tcPr>
          <w:p w14:paraId="284C0422"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6" w:type="dxa"/>
            <w:vMerge/>
            <w:vAlign w:val="center"/>
            <w:hideMark/>
          </w:tcPr>
          <w:p w14:paraId="074760A7"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30" w:type="dxa"/>
            <w:vMerge/>
            <w:vAlign w:val="center"/>
            <w:hideMark/>
          </w:tcPr>
          <w:p w14:paraId="58538C8B"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26" w:type="dxa"/>
            <w:vMerge/>
            <w:vAlign w:val="center"/>
            <w:hideMark/>
          </w:tcPr>
          <w:p w14:paraId="18439697"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30" w:type="dxa"/>
            <w:vMerge/>
            <w:vAlign w:val="center"/>
            <w:hideMark/>
          </w:tcPr>
          <w:p w14:paraId="73F4D1CE"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8" w:type="dxa"/>
            <w:vMerge/>
            <w:vAlign w:val="center"/>
            <w:hideMark/>
          </w:tcPr>
          <w:p w14:paraId="1221B976"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7" w:type="dxa"/>
            <w:vMerge/>
            <w:vAlign w:val="center"/>
            <w:hideMark/>
          </w:tcPr>
          <w:p w14:paraId="32D48D74"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2135" w:type="dxa"/>
            <w:gridSpan w:val="2"/>
            <w:vMerge/>
            <w:vAlign w:val="center"/>
            <w:hideMark/>
          </w:tcPr>
          <w:p w14:paraId="1F436DB7"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626" w:type="dxa"/>
            <w:gridSpan w:val="2"/>
            <w:vMerge/>
            <w:vAlign w:val="center"/>
            <w:hideMark/>
          </w:tcPr>
          <w:p w14:paraId="78D4BF66"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ED2F32" w:rsidRPr="004D0D3D" w14:paraId="4A544DFA" w14:textId="77777777" w:rsidTr="004D0D3D">
        <w:trPr>
          <w:trHeight w:val="302"/>
        </w:trPr>
        <w:tc>
          <w:tcPr>
            <w:tcW w:w="803" w:type="dxa"/>
            <w:vMerge/>
            <w:vAlign w:val="center"/>
            <w:hideMark/>
          </w:tcPr>
          <w:p w14:paraId="6C6631D2"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6" w:type="dxa"/>
            <w:vMerge/>
            <w:vAlign w:val="center"/>
            <w:hideMark/>
          </w:tcPr>
          <w:p w14:paraId="27923B74"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30" w:type="dxa"/>
            <w:vMerge/>
            <w:vAlign w:val="center"/>
            <w:hideMark/>
          </w:tcPr>
          <w:p w14:paraId="2FFF95DA"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26" w:type="dxa"/>
            <w:vMerge/>
            <w:vAlign w:val="center"/>
            <w:hideMark/>
          </w:tcPr>
          <w:p w14:paraId="7B249552"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30" w:type="dxa"/>
            <w:vMerge/>
            <w:vAlign w:val="center"/>
            <w:hideMark/>
          </w:tcPr>
          <w:p w14:paraId="458175C8"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48" w:type="dxa"/>
            <w:vMerge/>
            <w:vAlign w:val="center"/>
            <w:hideMark/>
          </w:tcPr>
          <w:p w14:paraId="12905166"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7" w:type="dxa"/>
            <w:vMerge/>
            <w:vAlign w:val="center"/>
            <w:hideMark/>
          </w:tcPr>
          <w:p w14:paraId="458F846E"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352" w:type="dxa"/>
            <w:shd w:val="clear" w:color="auto" w:fill="auto"/>
            <w:vAlign w:val="center"/>
            <w:hideMark/>
          </w:tcPr>
          <w:p w14:paraId="2DD849A7"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783" w:type="dxa"/>
            <w:shd w:val="clear" w:color="auto" w:fill="auto"/>
            <w:vAlign w:val="center"/>
            <w:hideMark/>
          </w:tcPr>
          <w:p w14:paraId="5D8E4F67"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10" w:type="dxa"/>
            <w:shd w:val="clear" w:color="auto" w:fill="auto"/>
            <w:vAlign w:val="center"/>
            <w:hideMark/>
          </w:tcPr>
          <w:p w14:paraId="3789040D"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16" w:type="dxa"/>
            <w:shd w:val="clear" w:color="auto" w:fill="auto"/>
            <w:vAlign w:val="center"/>
            <w:hideMark/>
          </w:tcPr>
          <w:p w14:paraId="1E6D3433"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ED2F32" w:rsidRPr="004D0D3D" w14:paraId="27D59521" w14:textId="77777777" w:rsidTr="004D0D3D">
        <w:trPr>
          <w:trHeight w:val="302"/>
        </w:trPr>
        <w:tc>
          <w:tcPr>
            <w:tcW w:w="803" w:type="dxa"/>
            <w:shd w:val="clear" w:color="auto" w:fill="auto"/>
            <w:vAlign w:val="center"/>
            <w:hideMark/>
          </w:tcPr>
          <w:p w14:paraId="1F404CF5"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896" w:type="dxa"/>
            <w:vMerge w:val="restart"/>
            <w:shd w:val="clear" w:color="auto" w:fill="auto"/>
            <w:vAlign w:val="center"/>
            <w:hideMark/>
          </w:tcPr>
          <w:p w14:paraId="00D52461"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DL</w:t>
            </w:r>
          </w:p>
        </w:tc>
        <w:tc>
          <w:tcPr>
            <w:tcW w:w="830" w:type="dxa"/>
            <w:vMerge w:val="restart"/>
            <w:shd w:val="clear" w:color="auto" w:fill="auto"/>
            <w:vAlign w:val="center"/>
            <w:hideMark/>
          </w:tcPr>
          <w:p w14:paraId="0BE15AC2"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DL</w:t>
            </w:r>
          </w:p>
        </w:tc>
        <w:tc>
          <w:tcPr>
            <w:tcW w:w="1126" w:type="dxa"/>
            <w:vMerge w:val="restart"/>
            <w:shd w:val="clear" w:color="auto" w:fill="auto"/>
            <w:vAlign w:val="center"/>
            <w:hideMark/>
          </w:tcPr>
          <w:p w14:paraId="5F637CD2"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Same gain as TDD</w:t>
            </w:r>
          </w:p>
        </w:tc>
        <w:tc>
          <w:tcPr>
            <w:tcW w:w="830" w:type="dxa"/>
            <w:vMerge w:val="restart"/>
            <w:shd w:val="clear" w:color="auto" w:fill="auto"/>
            <w:vAlign w:val="center"/>
            <w:hideMark/>
          </w:tcPr>
          <w:p w14:paraId="06B88069"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46 dBm</w:t>
            </w:r>
          </w:p>
        </w:tc>
        <w:tc>
          <w:tcPr>
            <w:tcW w:w="848" w:type="dxa"/>
            <w:vMerge w:val="restart"/>
            <w:shd w:val="clear" w:color="auto" w:fill="auto"/>
            <w:vAlign w:val="center"/>
            <w:hideMark/>
          </w:tcPr>
          <w:p w14:paraId="6F22FE87"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Enabled</w:t>
            </w:r>
          </w:p>
        </w:tc>
        <w:tc>
          <w:tcPr>
            <w:tcW w:w="897" w:type="dxa"/>
            <w:vMerge w:val="restart"/>
            <w:shd w:val="clear" w:color="auto" w:fill="auto"/>
            <w:vAlign w:val="center"/>
            <w:hideMark/>
          </w:tcPr>
          <w:p w14:paraId="2C8B7EB3"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46 dBm</w:t>
            </w:r>
          </w:p>
        </w:tc>
        <w:tc>
          <w:tcPr>
            <w:tcW w:w="1352" w:type="dxa"/>
            <w:shd w:val="clear" w:color="auto" w:fill="auto"/>
            <w:noWrap/>
            <w:vAlign w:val="center"/>
            <w:hideMark/>
          </w:tcPr>
          <w:p w14:paraId="7E886407"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0.09</w:t>
            </w:r>
          </w:p>
        </w:tc>
        <w:tc>
          <w:tcPr>
            <w:tcW w:w="783" w:type="dxa"/>
            <w:shd w:val="clear" w:color="auto" w:fill="auto"/>
            <w:noWrap/>
            <w:vAlign w:val="center"/>
            <w:hideMark/>
          </w:tcPr>
          <w:p w14:paraId="517259ED"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0.05</w:t>
            </w:r>
          </w:p>
        </w:tc>
        <w:tc>
          <w:tcPr>
            <w:tcW w:w="810" w:type="dxa"/>
            <w:shd w:val="clear" w:color="auto" w:fill="auto"/>
            <w:noWrap/>
            <w:vAlign w:val="center"/>
            <w:hideMark/>
          </w:tcPr>
          <w:p w14:paraId="2AF0BCD4"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1.61</w:t>
            </w:r>
          </w:p>
        </w:tc>
        <w:tc>
          <w:tcPr>
            <w:tcW w:w="816" w:type="dxa"/>
            <w:shd w:val="clear" w:color="auto" w:fill="auto"/>
            <w:noWrap/>
            <w:vAlign w:val="center"/>
            <w:hideMark/>
          </w:tcPr>
          <w:p w14:paraId="7088E1C9"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0.26</w:t>
            </w:r>
          </w:p>
        </w:tc>
      </w:tr>
      <w:tr w:rsidR="00ED2F32" w:rsidRPr="004D0D3D" w14:paraId="1D47540F" w14:textId="77777777" w:rsidTr="004D0D3D">
        <w:trPr>
          <w:trHeight w:val="302"/>
        </w:trPr>
        <w:tc>
          <w:tcPr>
            <w:tcW w:w="803" w:type="dxa"/>
            <w:shd w:val="clear" w:color="auto" w:fill="auto"/>
            <w:vAlign w:val="center"/>
            <w:hideMark/>
          </w:tcPr>
          <w:p w14:paraId="47C6E137"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896" w:type="dxa"/>
            <w:vMerge/>
            <w:vAlign w:val="center"/>
            <w:hideMark/>
          </w:tcPr>
          <w:p w14:paraId="33BAC6BC"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0" w:type="dxa"/>
            <w:vMerge/>
            <w:vAlign w:val="center"/>
            <w:hideMark/>
          </w:tcPr>
          <w:p w14:paraId="1F66E647"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6" w:type="dxa"/>
            <w:vMerge/>
            <w:vAlign w:val="center"/>
            <w:hideMark/>
          </w:tcPr>
          <w:p w14:paraId="499CEC50"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0" w:type="dxa"/>
            <w:vMerge/>
            <w:vAlign w:val="center"/>
            <w:hideMark/>
          </w:tcPr>
          <w:p w14:paraId="24228D95"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8" w:type="dxa"/>
            <w:vMerge/>
            <w:vAlign w:val="center"/>
            <w:hideMark/>
          </w:tcPr>
          <w:p w14:paraId="5C9E62C5"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7" w:type="dxa"/>
            <w:vMerge/>
            <w:vAlign w:val="center"/>
            <w:hideMark/>
          </w:tcPr>
          <w:p w14:paraId="43401102"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52" w:type="dxa"/>
            <w:shd w:val="clear" w:color="auto" w:fill="auto"/>
            <w:noWrap/>
            <w:vAlign w:val="center"/>
            <w:hideMark/>
          </w:tcPr>
          <w:p w14:paraId="0BD953B8"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0.02</w:t>
            </w:r>
          </w:p>
        </w:tc>
        <w:tc>
          <w:tcPr>
            <w:tcW w:w="783" w:type="dxa"/>
            <w:shd w:val="clear" w:color="auto" w:fill="auto"/>
            <w:noWrap/>
            <w:vAlign w:val="center"/>
            <w:hideMark/>
          </w:tcPr>
          <w:p w14:paraId="2B6D7317"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0.09</w:t>
            </w:r>
          </w:p>
        </w:tc>
        <w:tc>
          <w:tcPr>
            <w:tcW w:w="810" w:type="dxa"/>
            <w:shd w:val="clear" w:color="auto" w:fill="auto"/>
            <w:noWrap/>
            <w:vAlign w:val="center"/>
            <w:hideMark/>
          </w:tcPr>
          <w:p w14:paraId="20E50A81"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0.39</w:t>
            </w:r>
          </w:p>
        </w:tc>
        <w:tc>
          <w:tcPr>
            <w:tcW w:w="816" w:type="dxa"/>
            <w:shd w:val="clear" w:color="auto" w:fill="auto"/>
            <w:noWrap/>
            <w:vAlign w:val="center"/>
            <w:hideMark/>
          </w:tcPr>
          <w:p w14:paraId="0DD0C5D7"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0.26</w:t>
            </w:r>
          </w:p>
        </w:tc>
      </w:tr>
      <w:tr w:rsidR="00ED2F32" w:rsidRPr="004D0D3D" w14:paraId="1C77A45F" w14:textId="77777777" w:rsidTr="004D0D3D">
        <w:trPr>
          <w:trHeight w:val="302"/>
        </w:trPr>
        <w:tc>
          <w:tcPr>
            <w:tcW w:w="803" w:type="dxa"/>
            <w:shd w:val="clear" w:color="auto" w:fill="auto"/>
            <w:vAlign w:val="center"/>
            <w:hideMark/>
          </w:tcPr>
          <w:p w14:paraId="547081B7"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896" w:type="dxa"/>
            <w:vMerge/>
            <w:vAlign w:val="center"/>
            <w:hideMark/>
          </w:tcPr>
          <w:p w14:paraId="7B2D2125"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0" w:type="dxa"/>
            <w:vMerge w:val="restart"/>
            <w:shd w:val="clear" w:color="auto" w:fill="auto"/>
            <w:vAlign w:val="center"/>
            <w:hideMark/>
          </w:tcPr>
          <w:p w14:paraId="0D5D7637"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UL</w:t>
            </w:r>
          </w:p>
        </w:tc>
        <w:tc>
          <w:tcPr>
            <w:tcW w:w="1126" w:type="dxa"/>
            <w:vMerge/>
            <w:vAlign w:val="center"/>
            <w:hideMark/>
          </w:tcPr>
          <w:p w14:paraId="558CD380"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0" w:type="dxa"/>
            <w:vMerge/>
            <w:vAlign w:val="center"/>
            <w:hideMark/>
          </w:tcPr>
          <w:p w14:paraId="169AC632"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8" w:type="dxa"/>
            <w:vMerge/>
            <w:vAlign w:val="center"/>
            <w:hideMark/>
          </w:tcPr>
          <w:p w14:paraId="4AB226D5"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7" w:type="dxa"/>
            <w:vMerge/>
            <w:vAlign w:val="center"/>
            <w:hideMark/>
          </w:tcPr>
          <w:p w14:paraId="2F889BD6"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52" w:type="dxa"/>
            <w:shd w:val="clear" w:color="auto" w:fill="auto"/>
            <w:noWrap/>
            <w:vAlign w:val="center"/>
            <w:hideMark/>
          </w:tcPr>
          <w:p w14:paraId="26CF2E25"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0.4</w:t>
            </w:r>
          </w:p>
        </w:tc>
        <w:tc>
          <w:tcPr>
            <w:tcW w:w="783" w:type="dxa"/>
            <w:shd w:val="clear" w:color="auto" w:fill="auto"/>
            <w:noWrap/>
            <w:vAlign w:val="center"/>
            <w:hideMark/>
          </w:tcPr>
          <w:p w14:paraId="752A0D44"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0.57</w:t>
            </w:r>
          </w:p>
        </w:tc>
        <w:tc>
          <w:tcPr>
            <w:tcW w:w="810" w:type="dxa"/>
            <w:shd w:val="clear" w:color="000000" w:fill="FFC7CE"/>
            <w:noWrap/>
            <w:vAlign w:val="center"/>
            <w:hideMark/>
          </w:tcPr>
          <w:p w14:paraId="694BE303"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16" w:type="dxa"/>
            <w:shd w:val="clear" w:color="auto" w:fill="auto"/>
            <w:noWrap/>
            <w:vAlign w:val="center"/>
            <w:hideMark/>
          </w:tcPr>
          <w:p w14:paraId="1F50C6EE"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3.91</w:t>
            </w:r>
          </w:p>
        </w:tc>
      </w:tr>
      <w:tr w:rsidR="00ED2F32" w:rsidRPr="004D0D3D" w14:paraId="3CD9479B" w14:textId="77777777" w:rsidTr="004D0D3D">
        <w:trPr>
          <w:trHeight w:val="302"/>
        </w:trPr>
        <w:tc>
          <w:tcPr>
            <w:tcW w:w="803" w:type="dxa"/>
            <w:shd w:val="clear" w:color="auto" w:fill="auto"/>
            <w:vAlign w:val="center"/>
            <w:hideMark/>
          </w:tcPr>
          <w:p w14:paraId="34E9876F" w14:textId="77777777" w:rsidR="004D0D3D" w:rsidRPr="00B334F7" w:rsidRDefault="004D0D3D" w:rsidP="004D0D3D">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896" w:type="dxa"/>
            <w:vMerge/>
            <w:vAlign w:val="center"/>
            <w:hideMark/>
          </w:tcPr>
          <w:p w14:paraId="7DFD8CA1"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0" w:type="dxa"/>
            <w:vMerge/>
            <w:vAlign w:val="center"/>
            <w:hideMark/>
          </w:tcPr>
          <w:p w14:paraId="0308FE7E"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26" w:type="dxa"/>
            <w:vMerge/>
            <w:vAlign w:val="center"/>
            <w:hideMark/>
          </w:tcPr>
          <w:p w14:paraId="0B17E0F3"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30" w:type="dxa"/>
            <w:vMerge/>
            <w:vAlign w:val="center"/>
            <w:hideMark/>
          </w:tcPr>
          <w:p w14:paraId="2E1D6E19"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48" w:type="dxa"/>
            <w:vMerge/>
            <w:vAlign w:val="center"/>
            <w:hideMark/>
          </w:tcPr>
          <w:p w14:paraId="3A1578CF"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7" w:type="dxa"/>
            <w:vMerge/>
            <w:vAlign w:val="center"/>
            <w:hideMark/>
          </w:tcPr>
          <w:p w14:paraId="64C86F95" w14:textId="77777777" w:rsidR="004D0D3D" w:rsidRPr="00B334F7" w:rsidRDefault="004D0D3D" w:rsidP="004D0D3D">
            <w:pPr>
              <w:overflowPunct/>
              <w:autoSpaceDE/>
              <w:autoSpaceDN/>
              <w:adjustRightInd/>
              <w:spacing w:after="0"/>
              <w:textAlignment w:val="auto"/>
              <w:rPr>
                <w:rFonts w:ascii="Times New Roman" w:eastAsia="Times New Roman" w:hAnsi="Times New Roman" w:cs="Times New Roman"/>
                <w:sz w:val="16"/>
                <w:szCs w:val="16"/>
                <w:lang w:val="en-US"/>
              </w:rPr>
            </w:pPr>
          </w:p>
        </w:tc>
        <w:tc>
          <w:tcPr>
            <w:tcW w:w="1352" w:type="dxa"/>
            <w:shd w:val="clear" w:color="auto" w:fill="auto"/>
            <w:noWrap/>
            <w:vAlign w:val="center"/>
            <w:hideMark/>
          </w:tcPr>
          <w:p w14:paraId="786D8922"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Receiver blocked</w:t>
            </w:r>
          </w:p>
        </w:tc>
        <w:tc>
          <w:tcPr>
            <w:tcW w:w="783" w:type="dxa"/>
            <w:shd w:val="clear" w:color="auto" w:fill="auto"/>
            <w:noWrap/>
            <w:vAlign w:val="center"/>
            <w:hideMark/>
          </w:tcPr>
          <w:p w14:paraId="1D32CDAC"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2.75</w:t>
            </w:r>
          </w:p>
        </w:tc>
        <w:tc>
          <w:tcPr>
            <w:tcW w:w="810" w:type="dxa"/>
            <w:shd w:val="clear" w:color="000000" w:fill="FFC7CE"/>
            <w:noWrap/>
            <w:vAlign w:val="center"/>
            <w:hideMark/>
          </w:tcPr>
          <w:p w14:paraId="4108FDC0"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100</w:t>
            </w:r>
          </w:p>
        </w:tc>
        <w:tc>
          <w:tcPr>
            <w:tcW w:w="816" w:type="dxa"/>
            <w:shd w:val="clear" w:color="000000" w:fill="FFC7CE"/>
            <w:noWrap/>
            <w:vAlign w:val="center"/>
            <w:hideMark/>
          </w:tcPr>
          <w:p w14:paraId="10FB866B" w14:textId="77777777" w:rsidR="004D0D3D" w:rsidRPr="00B334F7" w:rsidRDefault="004D0D3D" w:rsidP="004D0D3D">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28.51</w:t>
            </w:r>
          </w:p>
        </w:tc>
      </w:tr>
    </w:tbl>
    <w:p w14:paraId="2C83E0F4" w14:textId="77777777" w:rsidR="00F064BC" w:rsidRDefault="00F064BC" w:rsidP="006879D7">
      <w:pPr>
        <w:rPr>
          <w:lang w:val="en-US"/>
        </w:rPr>
      </w:pPr>
    </w:p>
    <w:p w14:paraId="2858E39F" w14:textId="345E98F0" w:rsidR="00447223" w:rsidRDefault="00F4167F" w:rsidP="006879D7">
      <w:pPr>
        <w:rPr>
          <w:lang w:val="en-US"/>
        </w:rPr>
      </w:pPr>
      <w:r>
        <w:rPr>
          <w:lang w:val="en-US"/>
        </w:rPr>
        <w:t>Based on the results above, the following recommendation</w:t>
      </w:r>
      <w:r w:rsidR="006B4412">
        <w:rPr>
          <w:lang w:val="en-US"/>
        </w:rPr>
        <w:t>s</w:t>
      </w:r>
      <w:r>
        <w:rPr>
          <w:lang w:val="en-US"/>
        </w:rPr>
        <w:t xml:space="preserve"> </w:t>
      </w:r>
      <w:r w:rsidR="006B4412">
        <w:rPr>
          <w:lang w:val="en-US"/>
        </w:rPr>
        <w:t>are</w:t>
      </w:r>
      <w:r>
        <w:rPr>
          <w:lang w:val="en-US"/>
        </w:rPr>
        <w:t xml:space="preserve"> proposed for </w:t>
      </w:r>
      <w:r w:rsidR="006B4412">
        <w:rPr>
          <w:lang w:val="en-US"/>
        </w:rPr>
        <w:t>this scenario and case:</w:t>
      </w:r>
    </w:p>
    <w:p w14:paraId="4F685899" w14:textId="0E94A047" w:rsidR="006B4412" w:rsidRPr="006B4412" w:rsidRDefault="006B4412" w:rsidP="006B4412">
      <w:pPr>
        <w:rPr>
          <w:b/>
          <w:bCs/>
        </w:rPr>
      </w:pPr>
      <w:r w:rsidRPr="00B334F7">
        <w:rPr>
          <w:b/>
          <w:bCs/>
          <w:lang w:val="en-US"/>
        </w:rPr>
        <w:t xml:space="preserve">Proposal </w:t>
      </w:r>
      <w:r w:rsidR="00B34360">
        <w:rPr>
          <w:b/>
          <w:bCs/>
          <w:lang w:val="en-US"/>
        </w:rPr>
        <w:t>1</w:t>
      </w:r>
      <w:r w:rsidR="005C792F">
        <w:rPr>
          <w:b/>
          <w:bCs/>
          <w:lang w:val="en-US"/>
        </w:rPr>
        <w:t>8</w:t>
      </w:r>
      <w:r w:rsidRPr="00B334F7">
        <w:rPr>
          <w:b/>
          <w:bCs/>
          <w:lang w:val="en-US"/>
        </w:rPr>
        <w:t xml:space="preserve">: </w:t>
      </w:r>
      <w:r w:rsidRPr="006B4412">
        <w:rPr>
          <w:b/>
          <w:bCs/>
        </w:rPr>
        <w:t xml:space="preserve">The </w:t>
      </w:r>
      <w:r>
        <w:rPr>
          <w:b/>
          <w:bCs/>
        </w:rPr>
        <w:t xml:space="preserve">SBFD DL </w:t>
      </w:r>
      <w:r w:rsidRPr="006B4412">
        <w:rPr>
          <w:b/>
          <w:bCs/>
        </w:rPr>
        <w:t xml:space="preserve">performance degradation for UMi-to-UMi Case </w:t>
      </w:r>
      <w:r>
        <w:rPr>
          <w:b/>
          <w:bCs/>
        </w:rPr>
        <w:t>3</w:t>
      </w:r>
      <w:r w:rsidRPr="006B4412">
        <w:rPr>
          <w:b/>
          <w:bCs/>
        </w:rPr>
        <w:t xml:space="preserve"> is acceptable when </w:t>
      </w:r>
      <w:r>
        <w:rPr>
          <w:b/>
          <w:bCs/>
        </w:rPr>
        <w:t>TDD DL is adopted in the aggressor network</w:t>
      </w:r>
      <w:r w:rsidR="006613F2">
        <w:rPr>
          <w:b/>
          <w:bCs/>
        </w:rPr>
        <w:t>.</w:t>
      </w:r>
    </w:p>
    <w:p w14:paraId="619B59CB" w14:textId="76D56D4D" w:rsidR="006879D7" w:rsidRDefault="006B4412" w:rsidP="00BF50E7">
      <w:pPr>
        <w:rPr>
          <w:lang w:val="en-US"/>
        </w:rPr>
      </w:pPr>
      <w:r w:rsidRPr="009D3E26">
        <w:rPr>
          <w:b/>
          <w:bCs/>
          <w:lang w:val="en-US"/>
        </w:rPr>
        <w:t xml:space="preserve">Proposal </w:t>
      </w:r>
      <w:r w:rsidR="00B34360">
        <w:rPr>
          <w:b/>
          <w:bCs/>
          <w:lang w:val="en-US"/>
        </w:rPr>
        <w:t>1</w:t>
      </w:r>
      <w:r w:rsidR="005C792F">
        <w:rPr>
          <w:b/>
          <w:bCs/>
          <w:lang w:val="en-US"/>
        </w:rPr>
        <w:t>9</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UMi-to-UMi Case </w:t>
      </w:r>
      <w:r>
        <w:rPr>
          <w:b/>
          <w:bCs/>
        </w:rPr>
        <w:t>3</w:t>
      </w:r>
      <w:r w:rsidRPr="006B4412">
        <w:rPr>
          <w:b/>
          <w:bCs/>
        </w:rPr>
        <w:t xml:space="preserve"> is </w:t>
      </w:r>
      <w:r>
        <w:rPr>
          <w:b/>
          <w:bCs/>
        </w:rPr>
        <w:t xml:space="preserve">not </w:t>
      </w:r>
      <w:r w:rsidRPr="006B4412">
        <w:rPr>
          <w:b/>
          <w:bCs/>
        </w:rPr>
        <w:t xml:space="preserve">acceptable when </w:t>
      </w:r>
      <w:r>
        <w:rPr>
          <w:b/>
          <w:bCs/>
        </w:rPr>
        <w:t>TDD DL is adopted in the aggressor network</w:t>
      </w:r>
      <w:r w:rsidR="00EB35BA">
        <w:rPr>
          <w:b/>
          <w:bCs/>
        </w:rPr>
        <w:t>, at least for 10% grid shift.</w:t>
      </w:r>
    </w:p>
    <w:p w14:paraId="405592C5" w14:textId="67AEE7E3" w:rsidR="00990225" w:rsidRDefault="00990225" w:rsidP="00990225">
      <w:pPr>
        <w:pStyle w:val="Heading4"/>
        <w:ind w:left="0" w:firstLine="0"/>
        <w:rPr>
          <w:lang w:val="en-US"/>
        </w:rPr>
      </w:pPr>
      <w:r w:rsidRPr="00B334F7">
        <w:rPr>
          <w:lang w:val="en-US"/>
        </w:rPr>
        <w:lastRenderedPageBreak/>
        <w:t xml:space="preserve">3.3.5 Scenario 6: FR2-1 </w:t>
      </w:r>
      <w:r w:rsidRPr="00310896">
        <w:rPr>
          <w:lang w:val="en-US"/>
        </w:rPr>
        <w:t>Urban Macro</w:t>
      </w:r>
    </w:p>
    <w:p w14:paraId="555D9A3A" w14:textId="1E953025" w:rsidR="00644B6A" w:rsidRDefault="007B3CE0" w:rsidP="00644B6A">
      <w:pPr>
        <w:rPr>
          <w:lang w:val="en-US"/>
        </w:rPr>
      </w:pPr>
      <w:r>
        <w:rPr>
          <w:lang w:val="en-US"/>
        </w:rPr>
        <w:fldChar w:fldCharType="begin"/>
      </w:r>
      <w:r>
        <w:rPr>
          <w:lang w:val="en-US"/>
        </w:rPr>
        <w:instrText xml:space="preserve"> REF _Ref146719432 \h </w:instrText>
      </w:r>
      <w:r>
        <w:rPr>
          <w:lang w:val="en-US"/>
        </w:rPr>
      </w:r>
      <w:r>
        <w:rPr>
          <w:lang w:val="en-US"/>
        </w:rPr>
        <w:fldChar w:fldCharType="separate"/>
      </w:r>
      <w:r w:rsidR="004D336C">
        <w:t xml:space="preserve">Figure </w:t>
      </w:r>
      <w:r w:rsidR="004D336C">
        <w:rPr>
          <w:noProof/>
        </w:rPr>
        <w:t>15</w:t>
      </w:r>
      <w:r>
        <w:rPr>
          <w:lang w:val="en-US"/>
        </w:rPr>
        <w:fldChar w:fldCharType="end"/>
      </w:r>
      <w:r>
        <w:rPr>
          <w:lang w:val="en-US"/>
        </w:rPr>
        <w:t xml:space="preserve"> </w:t>
      </w:r>
      <w:r w:rsidR="00644B6A">
        <w:rPr>
          <w:lang w:val="en-US"/>
        </w:rPr>
        <w:t xml:space="preserve">shows the UL performance of SBFD when there is no aggressor network and when SBFD coexists with TDD DL. </w:t>
      </w:r>
      <w:r w:rsidR="00AD6482">
        <w:rPr>
          <w:lang w:val="en-US"/>
        </w:rPr>
        <w:t xml:space="preserve">Results include different grid offset, i.e., 100% and 10% grid offset. </w:t>
      </w:r>
      <w:r w:rsidR="00213505">
        <w:rPr>
          <w:lang w:val="en-US"/>
        </w:rPr>
        <w:t>It can be noted that the degradation due to the presence of ACI generated at a TDD DL network is not impacting severely the UL throughput of SBFD. This indicates that the BS-to-BS ACI is not strong enough.</w:t>
      </w:r>
    </w:p>
    <w:p w14:paraId="5777A950" w14:textId="51F3B3EC" w:rsidR="00D65ABA" w:rsidRDefault="00804381" w:rsidP="00D65ABA">
      <w:pPr>
        <w:keepNext/>
        <w:jc w:val="center"/>
      </w:pPr>
      <w:r w:rsidRPr="00804381">
        <w:rPr>
          <w:noProof/>
        </w:rPr>
        <w:drawing>
          <wp:inline distT="0" distB="0" distL="0" distR="0" wp14:anchorId="345C0F6F" wp14:editId="1065CA06">
            <wp:extent cx="4162349" cy="2936307"/>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rotWithShape="1">
                    <a:blip r:embed="rId27">
                      <a:extLst>
                        <a:ext uri="{28A0092B-C50C-407E-A947-70E740481C1C}">
                          <a14:useLocalDpi xmlns:a14="http://schemas.microsoft.com/office/drawing/2010/main" val="0"/>
                        </a:ext>
                      </a:extLst>
                    </a:blip>
                    <a:srcRect l="7247" t="2697" r="6925" b="5143"/>
                    <a:stretch/>
                  </pic:blipFill>
                  <pic:spPr bwMode="auto">
                    <a:xfrm>
                      <a:off x="0" y="0"/>
                      <a:ext cx="4168201" cy="2940435"/>
                    </a:xfrm>
                    <a:prstGeom prst="rect">
                      <a:avLst/>
                    </a:prstGeom>
                    <a:noFill/>
                    <a:ln>
                      <a:noFill/>
                    </a:ln>
                    <a:extLst>
                      <a:ext uri="{53640926-AAD7-44D8-BBD7-CCE9431645EC}">
                        <a14:shadowObscured xmlns:a14="http://schemas.microsoft.com/office/drawing/2010/main"/>
                      </a:ext>
                    </a:extLst>
                  </pic:spPr>
                </pic:pic>
              </a:graphicData>
            </a:graphic>
          </wp:inline>
        </w:drawing>
      </w:r>
    </w:p>
    <w:p w14:paraId="02F2921E" w14:textId="545C8EC4" w:rsidR="00644B6A" w:rsidRPr="00B334F7" w:rsidRDefault="00D65ABA" w:rsidP="00B334F7">
      <w:pPr>
        <w:pStyle w:val="Caption"/>
        <w:jc w:val="center"/>
        <w:rPr>
          <w:lang w:val="en-US"/>
        </w:rPr>
      </w:pPr>
      <w:bookmarkStart w:id="41" w:name="_Ref146719432"/>
      <w:r>
        <w:t xml:space="preserve">Figure </w:t>
      </w:r>
      <w:r>
        <w:fldChar w:fldCharType="begin"/>
      </w:r>
      <w:r>
        <w:instrText xml:space="preserve"> SEQ Figure \* ARABIC </w:instrText>
      </w:r>
      <w:r>
        <w:fldChar w:fldCharType="separate"/>
      </w:r>
      <w:r w:rsidR="004D336C">
        <w:rPr>
          <w:noProof/>
        </w:rPr>
        <w:t>15</w:t>
      </w:r>
      <w:r>
        <w:fldChar w:fldCharType="end"/>
      </w:r>
      <w:bookmarkEnd w:id="41"/>
      <w:r>
        <w:t>. Comparison of UL SINR and UL throughput for Case 3 Urban Macro FR2-1 scenario</w:t>
      </w:r>
    </w:p>
    <w:p w14:paraId="531EB3E0" w14:textId="080132D8" w:rsidR="00644B6A" w:rsidRDefault="00644B6A" w:rsidP="00B334F7">
      <w:pPr>
        <w:pStyle w:val="Caption"/>
        <w:jc w:val="center"/>
        <w:rPr>
          <w:lang w:val="en-US"/>
        </w:rPr>
      </w:pPr>
    </w:p>
    <w:p w14:paraId="37ED5E44" w14:textId="76C25B99" w:rsidR="0043215A" w:rsidRDefault="001A0939" w:rsidP="00644B6A">
      <w:pPr>
        <w:rPr>
          <w:lang w:val="en-US"/>
        </w:rPr>
      </w:pPr>
      <w:r>
        <w:rPr>
          <w:lang w:val="en-US"/>
        </w:rPr>
        <w:fldChar w:fldCharType="begin"/>
      </w:r>
      <w:r>
        <w:rPr>
          <w:lang w:val="en-US"/>
        </w:rPr>
        <w:instrText xml:space="preserve"> REF _Ref146719390 \h </w:instrText>
      </w:r>
      <w:r>
        <w:rPr>
          <w:lang w:val="en-US"/>
        </w:rPr>
      </w:r>
      <w:r>
        <w:rPr>
          <w:lang w:val="en-US"/>
        </w:rPr>
        <w:fldChar w:fldCharType="separate"/>
      </w:r>
      <w:r w:rsidR="004D336C">
        <w:t xml:space="preserve">Table </w:t>
      </w:r>
      <w:r w:rsidR="004D336C">
        <w:rPr>
          <w:noProof/>
        </w:rPr>
        <w:t>15</w:t>
      </w:r>
      <w:r>
        <w:rPr>
          <w:lang w:val="en-US"/>
        </w:rPr>
        <w:fldChar w:fldCharType="end"/>
      </w:r>
      <w:r>
        <w:rPr>
          <w:lang w:val="en-US"/>
        </w:rPr>
        <w:t xml:space="preserve"> </w:t>
      </w:r>
      <w:r w:rsidR="00644B6A">
        <w:rPr>
          <w:lang w:val="en-US"/>
        </w:rPr>
        <w:t xml:space="preserve">includes the coexistence performance of SBFD in both DL and UL when TDD DL acts as the aggressor network. The table includes different grid offsets and highlights the throughput degradation values above 5%. </w:t>
      </w:r>
      <w:r w:rsidR="007744AC">
        <w:rPr>
          <w:lang w:val="en-US"/>
        </w:rPr>
        <w:t>The main conclusion is that</w:t>
      </w:r>
      <w:r w:rsidR="000E6EC2">
        <w:rPr>
          <w:lang w:val="en-US"/>
        </w:rPr>
        <w:t xml:space="preserve"> the </w:t>
      </w:r>
      <w:r w:rsidR="00563DAC">
        <w:rPr>
          <w:lang w:val="en-US"/>
        </w:rPr>
        <w:t>BS-to-BS ACI and the BS-to-UE ACI is not strong enough to cause severe degradation on the SBFD operation.</w:t>
      </w:r>
    </w:p>
    <w:p w14:paraId="07625C1B" w14:textId="1422C8C8" w:rsidR="000F52CF" w:rsidRDefault="000F52CF" w:rsidP="00B334F7">
      <w:pPr>
        <w:pStyle w:val="Caption"/>
        <w:keepNext/>
      </w:pPr>
      <w:bookmarkStart w:id="42" w:name="_Ref146719390"/>
      <w:r>
        <w:t xml:space="preserve">Table </w:t>
      </w:r>
      <w:r>
        <w:fldChar w:fldCharType="begin"/>
      </w:r>
      <w:r>
        <w:instrText xml:space="preserve"> SEQ Table \* ARABIC </w:instrText>
      </w:r>
      <w:r>
        <w:fldChar w:fldCharType="separate"/>
      </w:r>
      <w:r w:rsidR="004D336C">
        <w:rPr>
          <w:noProof/>
        </w:rPr>
        <w:t>15</w:t>
      </w:r>
      <w:r>
        <w:fldChar w:fldCharType="end"/>
      </w:r>
      <w:bookmarkEnd w:id="42"/>
      <w:r>
        <w:t xml:space="preserve">. </w:t>
      </w:r>
      <w:r w:rsidR="007145AC">
        <w:t xml:space="preserve">Performance summary for Case 3 </w:t>
      </w:r>
      <w:r w:rsidR="0004556D">
        <w:t>Urban Macro FR2-1</w:t>
      </w:r>
      <w:r w:rsidR="007145AC">
        <w:t xml:space="preserve"> scenario</w:t>
      </w:r>
    </w:p>
    <w:tbl>
      <w:tblPr>
        <w:tblW w:w="10524" w:type="dxa"/>
        <w:tblLook w:val="04A0" w:firstRow="1" w:lastRow="0" w:firstColumn="1" w:lastColumn="0" w:noHBand="0" w:noVBand="1"/>
      </w:tblPr>
      <w:tblGrid>
        <w:gridCol w:w="924"/>
        <w:gridCol w:w="955"/>
        <w:gridCol w:w="933"/>
        <w:gridCol w:w="1186"/>
        <w:gridCol w:w="933"/>
        <w:gridCol w:w="929"/>
        <w:gridCol w:w="955"/>
        <w:gridCol w:w="926"/>
        <w:gridCol w:w="928"/>
        <w:gridCol w:w="927"/>
        <w:gridCol w:w="928"/>
      </w:tblGrid>
      <w:tr w:rsidR="000F52CF" w:rsidRPr="000F52CF" w14:paraId="2EF3325A" w14:textId="77777777" w:rsidTr="00B334F7">
        <w:trPr>
          <w:trHeight w:val="315"/>
        </w:trPr>
        <w:tc>
          <w:tcPr>
            <w:tcW w:w="10524"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EDCD8C"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6: FR2-1 Urban Macro</w:t>
            </w:r>
            <w:r w:rsidRPr="00B334F7">
              <w:rPr>
                <w:rFonts w:ascii="Times New Roman" w:eastAsia="Times New Roman" w:hAnsi="Times New Roman" w:cs="Times New Roman"/>
                <w:b/>
                <w:bCs/>
                <w:sz w:val="16"/>
                <w:szCs w:val="16"/>
                <w:lang w:val="en-US"/>
              </w:rPr>
              <w:br/>
              <w:t>Case 3: SBFD as victim with TDD DL as aggressor</w:t>
            </w:r>
          </w:p>
        </w:tc>
      </w:tr>
      <w:tr w:rsidR="00B65919" w:rsidRPr="000F52CF" w14:paraId="328794E8" w14:textId="77777777" w:rsidTr="000F52CF">
        <w:trPr>
          <w:trHeight w:val="300"/>
        </w:trPr>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42DF6CE7"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955" w:type="dxa"/>
            <w:vMerge w:val="restart"/>
            <w:tcBorders>
              <w:top w:val="nil"/>
              <w:left w:val="single" w:sz="4" w:space="0" w:color="auto"/>
              <w:bottom w:val="single" w:sz="4" w:space="0" w:color="auto"/>
              <w:right w:val="single" w:sz="4" w:space="0" w:color="auto"/>
            </w:tcBorders>
            <w:shd w:val="clear" w:color="auto" w:fill="auto"/>
            <w:vAlign w:val="center"/>
            <w:hideMark/>
          </w:tcPr>
          <w:p w14:paraId="1061BB54"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933" w:type="dxa"/>
            <w:vMerge w:val="restart"/>
            <w:tcBorders>
              <w:top w:val="nil"/>
              <w:left w:val="single" w:sz="4" w:space="0" w:color="auto"/>
              <w:bottom w:val="single" w:sz="4" w:space="0" w:color="auto"/>
              <w:right w:val="single" w:sz="4" w:space="0" w:color="auto"/>
            </w:tcBorders>
            <w:shd w:val="clear" w:color="auto" w:fill="auto"/>
            <w:vAlign w:val="center"/>
            <w:hideMark/>
          </w:tcPr>
          <w:p w14:paraId="105C3E17"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86" w:type="dxa"/>
            <w:vMerge w:val="restart"/>
            <w:tcBorders>
              <w:top w:val="nil"/>
              <w:left w:val="single" w:sz="4" w:space="0" w:color="auto"/>
              <w:bottom w:val="single" w:sz="4" w:space="0" w:color="auto"/>
              <w:right w:val="single" w:sz="4" w:space="0" w:color="auto"/>
            </w:tcBorders>
            <w:shd w:val="clear" w:color="auto" w:fill="auto"/>
            <w:vAlign w:val="center"/>
            <w:hideMark/>
          </w:tcPr>
          <w:p w14:paraId="3DC6B127"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933" w:type="dxa"/>
            <w:vMerge w:val="restart"/>
            <w:tcBorders>
              <w:top w:val="nil"/>
              <w:left w:val="single" w:sz="4" w:space="0" w:color="auto"/>
              <w:bottom w:val="single" w:sz="4" w:space="0" w:color="auto"/>
              <w:right w:val="single" w:sz="4" w:space="0" w:color="auto"/>
            </w:tcBorders>
            <w:shd w:val="clear" w:color="auto" w:fill="auto"/>
            <w:vAlign w:val="center"/>
            <w:hideMark/>
          </w:tcPr>
          <w:p w14:paraId="0A86F2DF"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76201659"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55" w:type="dxa"/>
            <w:vMerge w:val="restart"/>
            <w:tcBorders>
              <w:top w:val="nil"/>
              <w:left w:val="single" w:sz="4" w:space="0" w:color="auto"/>
              <w:bottom w:val="single" w:sz="4" w:space="0" w:color="auto"/>
              <w:right w:val="single" w:sz="4" w:space="0" w:color="auto"/>
            </w:tcBorders>
            <w:shd w:val="clear" w:color="auto" w:fill="auto"/>
            <w:vAlign w:val="center"/>
            <w:hideMark/>
          </w:tcPr>
          <w:p w14:paraId="48063D28"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18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6505DE"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8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9EE36C"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0F52CF" w:rsidRPr="000F52CF" w14:paraId="5B625D4C" w14:textId="77777777" w:rsidTr="00B334F7">
        <w:trPr>
          <w:trHeight w:val="300"/>
        </w:trPr>
        <w:tc>
          <w:tcPr>
            <w:tcW w:w="924" w:type="dxa"/>
            <w:vMerge/>
            <w:tcBorders>
              <w:top w:val="nil"/>
              <w:left w:val="single" w:sz="4" w:space="0" w:color="auto"/>
              <w:bottom w:val="single" w:sz="4" w:space="0" w:color="auto"/>
              <w:right w:val="single" w:sz="4" w:space="0" w:color="auto"/>
            </w:tcBorders>
            <w:vAlign w:val="center"/>
            <w:hideMark/>
          </w:tcPr>
          <w:p w14:paraId="166846A0"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396A2066"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3" w:type="dxa"/>
            <w:vMerge/>
            <w:tcBorders>
              <w:top w:val="nil"/>
              <w:left w:val="single" w:sz="4" w:space="0" w:color="auto"/>
              <w:bottom w:val="single" w:sz="4" w:space="0" w:color="auto"/>
              <w:right w:val="single" w:sz="4" w:space="0" w:color="auto"/>
            </w:tcBorders>
            <w:vAlign w:val="center"/>
            <w:hideMark/>
          </w:tcPr>
          <w:p w14:paraId="3769AC57"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86" w:type="dxa"/>
            <w:vMerge/>
            <w:tcBorders>
              <w:top w:val="nil"/>
              <w:left w:val="single" w:sz="4" w:space="0" w:color="auto"/>
              <w:bottom w:val="single" w:sz="4" w:space="0" w:color="auto"/>
              <w:right w:val="single" w:sz="4" w:space="0" w:color="auto"/>
            </w:tcBorders>
            <w:vAlign w:val="center"/>
            <w:hideMark/>
          </w:tcPr>
          <w:p w14:paraId="6C0563CA"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3" w:type="dxa"/>
            <w:vMerge/>
            <w:tcBorders>
              <w:top w:val="nil"/>
              <w:left w:val="single" w:sz="4" w:space="0" w:color="auto"/>
              <w:bottom w:val="single" w:sz="4" w:space="0" w:color="auto"/>
              <w:right w:val="single" w:sz="4" w:space="0" w:color="auto"/>
            </w:tcBorders>
            <w:vAlign w:val="center"/>
            <w:hideMark/>
          </w:tcPr>
          <w:p w14:paraId="25D22296"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29" w:type="dxa"/>
            <w:vMerge/>
            <w:tcBorders>
              <w:top w:val="nil"/>
              <w:left w:val="single" w:sz="4" w:space="0" w:color="auto"/>
              <w:bottom w:val="single" w:sz="4" w:space="0" w:color="auto"/>
              <w:right w:val="single" w:sz="4" w:space="0" w:color="auto"/>
            </w:tcBorders>
            <w:vAlign w:val="center"/>
            <w:hideMark/>
          </w:tcPr>
          <w:p w14:paraId="0985A50B"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67195496"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854" w:type="dxa"/>
            <w:gridSpan w:val="2"/>
            <w:vMerge/>
            <w:tcBorders>
              <w:top w:val="single" w:sz="4" w:space="0" w:color="auto"/>
              <w:left w:val="single" w:sz="4" w:space="0" w:color="auto"/>
              <w:bottom w:val="single" w:sz="4" w:space="0" w:color="auto"/>
              <w:right w:val="single" w:sz="4" w:space="0" w:color="auto"/>
            </w:tcBorders>
            <w:vAlign w:val="center"/>
            <w:hideMark/>
          </w:tcPr>
          <w:p w14:paraId="51CEE42B"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855" w:type="dxa"/>
            <w:gridSpan w:val="2"/>
            <w:vMerge/>
            <w:tcBorders>
              <w:top w:val="single" w:sz="4" w:space="0" w:color="auto"/>
              <w:left w:val="single" w:sz="4" w:space="0" w:color="auto"/>
              <w:bottom w:val="single" w:sz="4" w:space="0" w:color="auto"/>
              <w:right w:val="single" w:sz="4" w:space="0" w:color="auto"/>
            </w:tcBorders>
            <w:vAlign w:val="center"/>
            <w:hideMark/>
          </w:tcPr>
          <w:p w14:paraId="0914321F"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0F52CF" w:rsidRPr="000F52CF" w14:paraId="5327CB78" w14:textId="77777777" w:rsidTr="00B334F7">
        <w:trPr>
          <w:trHeight w:val="300"/>
        </w:trPr>
        <w:tc>
          <w:tcPr>
            <w:tcW w:w="924" w:type="dxa"/>
            <w:vMerge/>
            <w:tcBorders>
              <w:top w:val="nil"/>
              <w:left w:val="single" w:sz="4" w:space="0" w:color="auto"/>
              <w:bottom w:val="single" w:sz="4" w:space="0" w:color="auto"/>
              <w:right w:val="single" w:sz="4" w:space="0" w:color="auto"/>
            </w:tcBorders>
            <w:vAlign w:val="center"/>
            <w:hideMark/>
          </w:tcPr>
          <w:p w14:paraId="67A20B64"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4E9BF2EA"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3" w:type="dxa"/>
            <w:vMerge/>
            <w:tcBorders>
              <w:top w:val="nil"/>
              <w:left w:val="single" w:sz="4" w:space="0" w:color="auto"/>
              <w:bottom w:val="single" w:sz="4" w:space="0" w:color="auto"/>
              <w:right w:val="single" w:sz="4" w:space="0" w:color="auto"/>
            </w:tcBorders>
            <w:vAlign w:val="center"/>
            <w:hideMark/>
          </w:tcPr>
          <w:p w14:paraId="4FC2D0F3"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86" w:type="dxa"/>
            <w:vMerge/>
            <w:tcBorders>
              <w:top w:val="nil"/>
              <w:left w:val="single" w:sz="4" w:space="0" w:color="auto"/>
              <w:bottom w:val="single" w:sz="4" w:space="0" w:color="auto"/>
              <w:right w:val="single" w:sz="4" w:space="0" w:color="auto"/>
            </w:tcBorders>
            <w:vAlign w:val="center"/>
            <w:hideMark/>
          </w:tcPr>
          <w:p w14:paraId="7FD6E13A"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3" w:type="dxa"/>
            <w:vMerge/>
            <w:tcBorders>
              <w:top w:val="nil"/>
              <w:left w:val="single" w:sz="4" w:space="0" w:color="auto"/>
              <w:bottom w:val="single" w:sz="4" w:space="0" w:color="auto"/>
              <w:right w:val="single" w:sz="4" w:space="0" w:color="auto"/>
            </w:tcBorders>
            <w:vAlign w:val="center"/>
            <w:hideMark/>
          </w:tcPr>
          <w:p w14:paraId="718B5DF0"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29" w:type="dxa"/>
            <w:vMerge/>
            <w:tcBorders>
              <w:top w:val="nil"/>
              <w:left w:val="single" w:sz="4" w:space="0" w:color="auto"/>
              <w:bottom w:val="single" w:sz="4" w:space="0" w:color="auto"/>
              <w:right w:val="single" w:sz="4" w:space="0" w:color="auto"/>
            </w:tcBorders>
            <w:vAlign w:val="center"/>
            <w:hideMark/>
          </w:tcPr>
          <w:p w14:paraId="0A9FA160"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28FE839E" w14:textId="77777777" w:rsidR="000F52CF" w:rsidRPr="00B334F7" w:rsidRDefault="000F52CF" w:rsidP="000F52CF">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26" w:type="dxa"/>
            <w:tcBorders>
              <w:top w:val="nil"/>
              <w:left w:val="nil"/>
              <w:bottom w:val="single" w:sz="4" w:space="0" w:color="auto"/>
              <w:right w:val="single" w:sz="4" w:space="0" w:color="auto"/>
            </w:tcBorders>
            <w:shd w:val="clear" w:color="auto" w:fill="auto"/>
            <w:vAlign w:val="center"/>
            <w:hideMark/>
          </w:tcPr>
          <w:p w14:paraId="470C1087"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928" w:type="dxa"/>
            <w:tcBorders>
              <w:top w:val="nil"/>
              <w:left w:val="nil"/>
              <w:bottom w:val="single" w:sz="4" w:space="0" w:color="auto"/>
              <w:right w:val="single" w:sz="4" w:space="0" w:color="auto"/>
            </w:tcBorders>
            <w:shd w:val="clear" w:color="auto" w:fill="auto"/>
            <w:vAlign w:val="center"/>
            <w:hideMark/>
          </w:tcPr>
          <w:p w14:paraId="34E2D380"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927" w:type="dxa"/>
            <w:tcBorders>
              <w:top w:val="nil"/>
              <w:left w:val="nil"/>
              <w:bottom w:val="single" w:sz="4" w:space="0" w:color="auto"/>
              <w:right w:val="single" w:sz="4" w:space="0" w:color="auto"/>
            </w:tcBorders>
            <w:shd w:val="clear" w:color="auto" w:fill="auto"/>
            <w:vAlign w:val="center"/>
            <w:hideMark/>
          </w:tcPr>
          <w:p w14:paraId="7CD8A1C6"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928" w:type="dxa"/>
            <w:tcBorders>
              <w:top w:val="nil"/>
              <w:left w:val="nil"/>
              <w:bottom w:val="single" w:sz="4" w:space="0" w:color="auto"/>
              <w:right w:val="single" w:sz="4" w:space="0" w:color="auto"/>
            </w:tcBorders>
            <w:shd w:val="clear" w:color="auto" w:fill="auto"/>
            <w:vAlign w:val="center"/>
            <w:hideMark/>
          </w:tcPr>
          <w:p w14:paraId="1DC325B0" w14:textId="77777777" w:rsidR="000F52CF" w:rsidRPr="00B334F7" w:rsidRDefault="000F52CF" w:rsidP="000F52CF">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E73956" w:rsidRPr="000F52CF" w14:paraId="6652B81C" w14:textId="77777777" w:rsidTr="000F52CF">
        <w:trPr>
          <w:trHeight w:val="450"/>
        </w:trPr>
        <w:tc>
          <w:tcPr>
            <w:tcW w:w="924" w:type="dxa"/>
            <w:tcBorders>
              <w:top w:val="nil"/>
              <w:left w:val="single" w:sz="4" w:space="0" w:color="auto"/>
              <w:bottom w:val="single" w:sz="4" w:space="0" w:color="auto"/>
              <w:right w:val="single" w:sz="4" w:space="0" w:color="auto"/>
            </w:tcBorders>
            <w:shd w:val="clear" w:color="auto" w:fill="auto"/>
            <w:vAlign w:val="center"/>
            <w:hideMark/>
          </w:tcPr>
          <w:p w14:paraId="38B599D4"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100%</w:t>
            </w:r>
          </w:p>
        </w:tc>
        <w:tc>
          <w:tcPr>
            <w:tcW w:w="955" w:type="dxa"/>
            <w:vMerge w:val="restart"/>
            <w:tcBorders>
              <w:top w:val="nil"/>
              <w:left w:val="single" w:sz="4" w:space="0" w:color="auto"/>
              <w:bottom w:val="single" w:sz="4" w:space="0" w:color="000000"/>
              <w:right w:val="single" w:sz="4" w:space="0" w:color="auto"/>
            </w:tcBorders>
            <w:shd w:val="clear" w:color="auto" w:fill="auto"/>
            <w:vAlign w:val="center"/>
            <w:hideMark/>
          </w:tcPr>
          <w:p w14:paraId="29DB2EB0"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TDD DL</w:t>
            </w:r>
          </w:p>
        </w:tc>
        <w:tc>
          <w:tcPr>
            <w:tcW w:w="933" w:type="dxa"/>
            <w:vMerge w:val="restart"/>
            <w:tcBorders>
              <w:top w:val="nil"/>
              <w:left w:val="single" w:sz="4" w:space="0" w:color="auto"/>
              <w:bottom w:val="single" w:sz="4" w:space="0" w:color="auto"/>
              <w:right w:val="single" w:sz="4" w:space="0" w:color="auto"/>
            </w:tcBorders>
            <w:shd w:val="clear" w:color="auto" w:fill="auto"/>
            <w:vAlign w:val="center"/>
            <w:hideMark/>
          </w:tcPr>
          <w:p w14:paraId="589AD327"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SBFD DL</w:t>
            </w:r>
          </w:p>
        </w:tc>
        <w:tc>
          <w:tcPr>
            <w:tcW w:w="1186" w:type="dxa"/>
            <w:tcBorders>
              <w:top w:val="nil"/>
              <w:left w:val="nil"/>
              <w:bottom w:val="single" w:sz="4" w:space="0" w:color="auto"/>
              <w:right w:val="single" w:sz="4" w:space="0" w:color="auto"/>
            </w:tcBorders>
            <w:shd w:val="clear" w:color="auto" w:fill="auto"/>
            <w:vAlign w:val="center"/>
            <w:hideMark/>
          </w:tcPr>
          <w:p w14:paraId="46A3685E"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Option 1 (same size)</w:t>
            </w:r>
          </w:p>
        </w:tc>
        <w:tc>
          <w:tcPr>
            <w:tcW w:w="933" w:type="dxa"/>
            <w:vMerge w:val="restart"/>
            <w:tcBorders>
              <w:top w:val="nil"/>
              <w:left w:val="single" w:sz="4" w:space="0" w:color="auto"/>
              <w:bottom w:val="single" w:sz="4" w:space="0" w:color="auto"/>
              <w:right w:val="single" w:sz="4" w:space="0" w:color="auto"/>
            </w:tcBorders>
            <w:shd w:val="clear" w:color="auto" w:fill="auto"/>
            <w:vAlign w:val="center"/>
            <w:hideMark/>
          </w:tcPr>
          <w:p w14:paraId="05E7B8E4"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Option 1:</w:t>
            </w:r>
            <w:r w:rsidRPr="000F52CF">
              <w:rPr>
                <w:rFonts w:ascii="Times New Roman" w:eastAsia="Times New Roman" w:hAnsi="Times New Roman" w:cs="Times New Roman"/>
                <w:sz w:val="16"/>
                <w:szCs w:val="16"/>
                <w:lang w:val="en-US"/>
              </w:rPr>
              <w:br/>
              <w:t>SBFD: 27 dBm</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25ACB508"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Enabled</w:t>
            </w:r>
          </w:p>
        </w:tc>
        <w:tc>
          <w:tcPr>
            <w:tcW w:w="955" w:type="dxa"/>
            <w:vMerge w:val="restart"/>
            <w:tcBorders>
              <w:top w:val="nil"/>
              <w:left w:val="single" w:sz="4" w:space="0" w:color="auto"/>
              <w:bottom w:val="single" w:sz="4" w:space="0" w:color="auto"/>
              <w:right w:val="single" w:sz="4" w:space="0" w:color="auto"/>
            </w:tcBorders>
            <w:shd w:val="clear" w:color="auto" w:fill="auto"/>
            <w:vAlign w:val="center"/>
            <w:hideMark/>
          </w:tcPr>
          <w:p w14:paraId="6DA9C234"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TDD: 30 dBm</w:t>
            </w:r>
          </w:p>
        </w:tc>
        <w:tc>
          <w:tcPr>
            <w:tcW w:w="926" w:type="dxa"/>
            <w:tcBorders>
              <w:top w:val="nil"/>
              <w:left w:val="nil"/>
              <w:bottom w:val="single" w:sz="4" w:space="0" w:color="auto"/>
              <w:right w:val="single" w:sz="4" w:space="0" w:color="auto"/>
            </w:tcBorders>
            <w:shd w:val="clear" w:color="auto" w:fill="auto"/>
            <w:noWrap/>
            <w:vAlign w:val="center"/>
            <w:hideMark/>
          </w:tcPr>
          <w:p w14:paraId="248C3DFA"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0.03</w:t>
            </w:r>
          </w:p>
        </w:tc>
        <w:tc>
          <w:tcPr>
            <w:tcW w:w="928" w:type="dxa"/>
            <w:tcBorders>
              <w:top w:val="nil"/>
              <w:left w:val="nil"/>
              <w:bottom w:val="single" w:sz="4" w:space="0" w:color="auto"/>
              <w:right w:val="single" w:sz="4" w:space="0" w:color="auto"/>
            </w:tcBorders>
            <w:shd w:val="clear" w:color="auto" w:fill="auto"/>
            <w:noWrap/>
            <w:vAlign w:val="center"/>
            <w:hideMark/>
          </w:tcPr>
          <w:p w14:paraId="333267AD"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0.01</w:t>
            </w:r>
          </w:p>
        </w:tc>
        <w:tc>
          <w:tcPr>
            <w:tcW w:w="927" w:type="dxa"/>
            <w:tcBorders>
              <w:top w:val="nil"/>
              <w:left w:val="nil"/>
              <w:bottom w:val="single" w:sz="4" w:space="0" w:color="auto"/>
              <w:right w:val="single" w:sz="4" w:space="0" w:color="auto"/>
            </w:tcBorders>
            <w:shd w:val="clear" w:color="auto" w:fill="auto"/>
            <w:noWrap/>
            <w:vAlign w:val="center"/>
            <w:hideMark/>
          </w:tcPr>
          <w:p w14:paraId="2FC0391B"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0.28</w:t>
            </w:r>
          </w:p>
        </w:tc>
        <w:tc>
          <w:tcPr>
            <w:tcW w:w="928" w:type="dxa"/>
            <w:tcBorders>
              <w:top w:val="nil"/>
              <w:left w:val="nil"/>
              <w:bottom w:val="single" w:sz="4" w:space="0" w:color="auto"/>
              <w:right w:val="single" w:sz="4" w:space="0" w:color="auto"/>
            </w:tcBorders>
            <w:shd w:val="clear" w:color="auto" w:fill="auto"/>
            <w:noWrap/>
            <w:vAlign w:val="center"/>
            <w:hideMark/>
          </w:tcPr>
          <w:p w14:paraId="7C5B91CD"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0.1</w:t>
            </w:r>
          </w:p>
        </w:tc>
      </w:tr>
      <w:tr w:rsidR="00E73956" w:rsidRPr="000F52CF" w14:paraId="7981E138" w14:textId="77777777" w:rsidTr="000F52CF">
        <w:trPr>
          <w:trHeight w:val="450"/>
        </w:trPr>
        <w:tc>
          <w:tcPr>
            <w:tcW w:w="924" w:type="dxa"/>
            <w:tcBorders>
              <w:top w:val="nil"/>
              <w:left w:val="single" w:sz="4" w:space="0" w:color="auto"/>
              <w:bottom w:val="single" w:sz="4" w:space="0" w:color="auto"/>
              <w:right w:val="single" w:sz="4" w:space="0" w:color="auto"/>
            </w:tcBorders>
            <w:shd w:val="clear" w:color="auto" w:fill="auto"/>
            <w:vAlign w:val="center"/>
            <w:hideMark/>
          </w:tcPr>
          <w:p w14:paraId="0E6DF8EB"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10%</w:t>
            </w:r>
          </w:p>
        </w:tc>
        <w:tc>
          <w:tcPr>
            <w:tcW w:w="955" w:type="dxa"/>
            <w:vMerge/>
            <w:tcBorders>
              <w:top w:val="nil"/>
              <w:left w:val="single" w:sz="4" w:space="0" w:color="auto"/>
              <w:bottom w:val="single" w:sz="4" w:space="0" w:color="000000"/>
              <w:right w:val="single" w:sz="4" w:space="0" w:color="auto"/>
            </w:tcBorders>
            <w:vAlign w:val="center"/>
            <w:hideMark/>
          </w:tcPr>
          <w:p w14:paraId="2BF314AE"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3" w:type="dxa"/>
            <w:vMerge/>
            <w:tcBorders>
              <w:top w:val="nil"/>
              <w:left w:val="single" w:sz="4" w:space="0" w:color="auto"/>
              <w:bottom w:val="single" w:sz="4" w:space="0" w:color="auto"/>
              <w:right w:val="single" w:sz="4" w:space="0" w:color="auto"/>
            </w:tcBorders>
            <w:vAlign w:val="center"/>
            <w:hideMark/>
          </w:tcPr>
          <w:p w14:paraId="276D31BA"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2319703C"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Option 1 (same size)</w:t>
            </w:r>
          </w:p>
        </w:tc>
        <w:tc>
          <w:tcPr>
            <w:tcW w:w="933" w:type="dxa"/>
            <w:vMerge/>
            <w:tcBorders>
              <w:top w:val="nil"/>
              <w:left w:val="single" w:sz="4" w:space="0" w:color="auto"/>
              <w:bottom w:val="single" w:sz="4" w:space="0" w:color="auto"/>
              <w:right w:val="single" w:sz="4" w:space="0" w:color="auto"/>
            </w:tcBorders>
            <w:vAlign w:val="center"/>
            <w:hideMark/>
          </w:tcPr>
          <w:p w14:paraId="21F36219"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9" w:type="dxa"/>
            <w:vMerge/>
            <w:tcBorders>
              <w:top w:val="nil"/>
              <w:left w:val="single" w:sz="4" w:space="0" w:color="auto"/>
              <w:bottom w:val="single" w:sz="4" w:space="0" w:color="auto"/>
              <w:right w:val="single" w:sz="4" w:space="0" w:color="auto"/>
            </w:tcBorders>
            <w:vAlign w:val="center"/>
            <w:hideMark/>
          </w:tcPr>
          <w:p w14:paraId="11072AAF"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5AFD27A1"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6" w:type="dxa"/>
            <w:tcBorders>
              <w:top w:val="nil"/>
              <w:left w:val="nil"/>
              <w:bottom w:val="single" w:sz="4" w:space="0" w:color="auto"/>
              <w:right w:val="single" w:sz="4" w:space="0" w:color="auto"/>
            </w:tcBorders>
            <w:shd w:val="clear" w:color="auto" w:fill="auto"/>
            <w:noWrap/>
            <w:vAlign w:val="center"/>
            <w:hideMark/>
          </w:tcPr>
          <w:p w14:paraId="3CE64433"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0.02</w:t>
            </w:r>
          </w:p>
        </w:tc>
        <w:tc>
          <w:tcPr>
            <w:tcW w:w="928" w:type="dxa"/>
            <w:tcBorders>
              <w:top w:val="nil"/>
              <w:left w:val="nil"/>
              <w:bottom w:val="single" w:sz="4" w:space="0" w:color="auto"/>
              <w:right w:val="single" w:sz="4" w:space="0" w:color="auto"/>
            </w:tcBorders>
            <w:shd w:val="clear" w:color="auto" w:fill="auto"/>
            <w:noWrap/>
            <w:vAlign w:val="center"/>
            <w:hideMark/>
          </w:tcPr>
          <w:p w14:paraId="68D323E7"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0.04</w:t>
            </w:r>
          </w:p>
        </w:tc>
        <w:tc>
          <w:tcPr>
            <w:tcW w:w="927" w:type="dxa"/>
            <w:tcBorders>
              <w:top w:val="nil"/>
              <w:left w:val="nil"/>
              <w:bottom w:val="single" w:sz="4" w:space="0" w:color="auto"/>
              <w:right w:val="single" w:sz="4" w:space="0" w:color="auto"/>
            </w:tcBorders>
            <w:shd w:val="clear" w:color="auto" w:fill="auto"/>
            <w:noWrap/>
            <w:vAlign w:val="center"/>
            <w:hideMark/>
          </w:tcPr>
          <w:p w14:paraId="07154AC9"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0.25</w:t>
            </w:r>
          </w:p>
        </w:tc>
        <w:tc>
          <w:tcPr>
            <w:tcW w:w="928" w:type="dxa"/>
            <w:tcBorders>
              <w:top w:val="nil"/>
              <w:left w:val="nil"/>
              <w:bottom w:val="single" w:sz="4" w:space="0" w:color="auto"/>
              <w:right w:val="single" w:sz="4" w:space="0" w:color="auto"/>
            </w:tcBorders>
            <w:shd w:val="clear" w:color="auto" w:fill="auto"/>
            <w:noWrap/>
            <w:vAlign w:val="center"/>
            <w:hideMark/>
          </w:tcPr>
          <w:p w14:paraId="56E2A9C8"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0.14</w:t>
            </w:r>
          </w:p>
        </w:tc>
      </w:tr>
      <w:tr w:rsidR="00E73956" w:rsidRPr="000F52CF" w14:paraId="393ED5D9" w14:textId="77777777" w:rsidTr="000F52CF">
        <w:trPr>
          <w:trHeight w:val="450"/>
        </w:trPr>
        <w:tc>
          <w:tcPr>
            <w:tcW w:w="924" w:type="dxa"/>
            <w:tcBorders>
              <w:top w:val="nil"/>
              <w:left w:val="single" w:sz="4" w:space="0" w:color="auto"/>
              <w:bottom w:val="single" w:sz="4" w:space="0" w:color="auto"/>
              <w:right w:val="single" w:sz="4" w:space="0" w:color="auto"/>
            </w:tcBorders>
            <w:shd w:val="clear" w:color="auto" w:fill="auto"/>
            <w:vAlign w:val="center"/>
            <w:hideMark/>
          </w:tcPr>
          <w:p w14:paraId="06AA2D17"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100%</w:t>
            </w:r>
          </w:p>
        </w:tc>
        <w:tc>
          <w:tcPr>
            <w:tcW w:w="955" w:type="dxa"/>
            <w:vMerge/>
            <w:tcBorders>
              <w:top w:val="nil"/>
              <w:left w:val="single" w:sz="4" w:space="0" w:color="auto"/>
              <w:bottom w:val="single" w:sz="4" w:space="0" w:color="000000"/>
              <w:right w:val="single" w:sz="4" w:space="0" w:color="auto"/>
            </w:tcBorders>
            <w:vAlign w:val="center"/>
            <w:hideMark/>
          </w:tcPr>
          <w:p w14:paraId="499075B1"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3" w:type="dxa"/>
            <w:vMerge w:val="restart"/>
            <w:tcBorders>
              <w:top w:val="nil"/>
              <w:left w:val="single" w:sz="4" w:space="0" w:color="auto"/>
              <w:bottom w:val="single" w:sz="4" w:space="0" w:color="auto"/>
              <w:right w:val="single" w:sz="4" w:space="0" w:color="auto"/>
            </w:tcBorders>
            <w:shd w:val="clear" w:color="auto" w:fill="auto"/>
            <w:vAlign w:val="center"/>
            <w:hideMark/>
          </w:tcPr>
          <w:p w14:paraId="45FFD2D4"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SBFD UL</w:t>
            </w:r>
          </w:p>
        </w:tc>
        <w:tc>
          <w:tcPr>
            <w:tcW w:w="1186" w:type="dxa"/>
            <w:tcBorders>
              <w:top w:val="nil"/>
              <w:left w:val="nil"/>
              <w:bottom w:val="single" w:sz="4" w:space="0" w:color="auto"/>
              <w:right w:val="single" w:sz="4" w:space="0" w:color="auto"/>
            </w:tcBorders>
            <w:shd w:val="clear" w:color="auto" w:fill="auto"/>
            <w:vAlign w:val="center"/>
            <w:hideMark/>
          </w:tcPr>
          <w:p w14:paraId="0247EC75"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Option 1 (same size)</w:t>
            </w:r>
          </w:p>
        </w:tc>
        <w:tc>
          <w:tcPr>
            <w:tcW w:w="933" w:type="dxa"/>
            <w:vMerge/>
            <w:tcBorders>
              <w:top w:val="nil"/>
              <w:left w:val="single" w:sz="4" w:space="0" w:color="auto"/>
              <w:bottom w:val="single" w:sz="4" w:space="0" w:color="auto"/>
              <w:right w:val="single" w:sz="4" w:space="0" w:color="auto"/>
            </w:tcBorders>
            <w:vAlign w:val="center"/>
            <w:hideMark/>
          </w:tcPr>
          <w:p w14:paraId="1C46E506"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9" w:type="dxa"/>
            <w:vMerge/>
            <w:tcBorders>
              <w:top w:val="nil"/>
              <w:left w:val="single" w:sz="4" w:space="0" w:color="auto"/>
              <w:bottom w:val="single" w:sz="4" w:space="0" w:color="auto"/>
              <w:right w:val="single" w:sz="4" w:space="0" w:color="auto"/>
            </w:tcBorders>
            <w:vAlign w:val="center"/>
            <w:hideMark/>
          </w:tcPr>
          <w:p w14:paraId="66CCEA93"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5E50009D"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6" w:type="dxa"/>
            <w:tcBorders>
              <w:top w:val="nil"/>
              <w:left w:val="nil"/>
              <w:bottom w:val="single" w:sz="4" w:space="0" w:color="auto"/>
              <w:right w:val="single" w:sz="4" w:space="0" w:color="auto"/>
            </w:tcBorders>
            <w:shd w:val="clear" w:color="auto" w:fill="auto"/>
            <w:noWrap/>
            <w:vAlign w:val="center"/>
            <w:hideMark/>
          </w:tcPr>
          <w:p w14:paraId="3E346080"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0.07</w:t>
            </w:r>
          </w:p>
        </w:tc>
        <w:tc>
          <w:tcPr>
            <w:tcW w:w="928" w:type="dxa"/>
            <w:tcBorders>
              <w:top w:val="nil"/>
              <w:left w:val="nil"/>
              <w:bottom w:val="single" w:sz="4" w:space="0" w:color="auto"/>
              <w:right w:val="single" w:sz="4" w:space="0" w:color="auto"/>
            </w:tcBorders>
            <w:shd w:val="clear" w:color="auto" w:fill="auto"/>
            <w:noWrap/>
            <w:vAlign w:val="center"/>
            <w:hideMark/>
          </w:tcPr>
          <w:p w14:paraId="7A66E3B1"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0.07</w:t>
            </w:r>
          </w:p>
        </w:tc>
        <w:tc>
          <w:tcPr>
            <w:tcW w:w="927" w:type="dxa"/>
            <w:tcBorders>
              <w:top w:val="nil"/>
              <w:left w:val="nil"/>
              <w:bottom w:val="single" w:sz="4" w:space="0" w:color="auto"/>
              <w:right w:val="single" w:sz="4" w:space="0" w:color="auto"/>
            </w:tcBorders>
            <w:shd w:val="clear" w:color="auto" w:fill="auto"/>
            <w:noWrap/>
            <w:vAlign w:val="center"/>
            <w:hideMark/>
          </w:tcPr>
          <w:p w14:paraId="5839EB4B"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1.39</w:t>
            </w:r>
          </w:p>
        </w:tc>
        <w:tc>
          <w:tcPr>
            <w:tcW w:w="928" w:type="dxa"/>
            <w:tcBorders>
              <w:top w:val="nil"/>
              <w:left w:val="nil"/>
              <w:bottom w:val="single" w:sz="4" w:space="0" w:color="auto"/>
              <w:right w:val="single" w:sz="4" w:space="0" w:color="auto"/>
            </w:tcBorders>
            <w:shd w:val="clear" w:color="auto" w:fill="auto"/>
            <w:noWrap/>
            <w:vAlign w:val="center"/>
            <w:hideMark/>
          </w:tcPr>
          <w:p w14:paraId="41048EF6"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0.55</w:t>
            </w:r>
          </w:p>
        </w:tc>
      </w:tr>
      <w:tr w:rsidR="00E73956" w:rsidRPr="000F52CF" w14:paraId="78738D23" w14:textId="77777777" w:rsidTr="000F52CF">
        <w:trPr>
          <w:trHeight w:val="450"/>
        </w:trPr>
        <w:tc>
          <w:tcPr>
            <w:tcW w:w="924" w:type="dxa"/>
            <w:tcBorders>
              <w:top w:val="nil"/>
              <w:left w:val="single" w:sz="4" w:space="0" w:color="auto"/>
              <w:bottom w:val="single" w:sz="4" w:space="0" w:color="auto"/>
              <w:right w:val="single" w:sz="4" w:space="0" w:color="auto"/>
            </w:tcBorders>
            <w:shd w:val="clear" w:color="auto" w:fill="auto"/>
            <w:vAlign w:val="center"/>
            <w:hideMark/>
          </w:tcPr>
          <w:p w14:paraId="3A9EBD59"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10%</w:t>
            </w:r>
          </w:p>
        </w:tc>
        <w:tc>
          <w:tcPr>
            <w:tcW w:w="955" w:type="dxa"/>
            <w:vMerge/>
            <w:tcBorders>
              <w:top w:val="nil"/>
              <w:left w:val="single" w:sz="4" w:space="0" w:color="auto"/>
              <w:bottom w:val="single" w:sz="4" w:space="0" w:color="000000"/>
              <w:right w:val="single" w:sz="4" w:space="0" w:color="auto"/>
            </w:tcBorders>
            <w:vAlign w:val="center"/>
            <w:hideMark/>
          </w:tcPr>
          <w:p w14:paraId="76D2DF2A"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3" w:type="dxa"/>
            <w:vMerge/>
            <w:tcBorders>
              <w:top w:val="nil"/>
              <w:left w:val="single" w:sz="4" w:space="0" w:color="auto"/>
              <w:bottom w:val="single" w:sz="4" w:space="0" w:color="auto"/>
              <w:right w:val="single" w:sz="4" w:space="0" w:color="auto"/>
            </w:tcBorders>
            <w:vAlign w:val="center"/>
            <w:hideMark/>
          </w:tcPr>
          <w:p w14:paraId="12C83450"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258BA3D3"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Option 1 (same size)</w:t>
            </w:r>
          </w:p>
        </w:tc>
        <w:tc>
          <w:tcPr>
            <w:tcW w:w="933" w:type="dxa"/>
            <w:vMerge/>
            <w:tcBorders>
              <w:top w:val="nil"/>
              <w:left w:val="single" w:sz="4" w:space="0" w:color="auto"/>
              <w:bottom w:val="single" w:sz="4" w:space="0" w:color="auto"/>
              <w:right w:val="single" w:sz="4" w:space="0" w:color="auto"/>
            </w:tcBorders>
            <w:vAlign w:val="center"/>
            <w:hideMark/>
          </w:tcPr>
          <w:p w14:paraId="7918A96B"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9" w:type="dxa"/>
            <w:vMerge/>
            <w:tcBorders>
              <w:top w:val="nil"/>
              <w:left w:val="single" w:sz="4" w:space="0" w:color="auto"/>
              <w:bottom w:val="single" w:sz="4" w:space="0" w:color="auto"/>
              <w:right w:val="single" w:sz="4" w:space="0" w:color="auto"/>
            </w:tcBorders>
            <w:vAlign w:val="center"/>
            <w:hideMark/>
          </w:tcPr>
          <w:p w14:paraId="422870EC"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2480DBBD"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6" w:type="dxa"/>
            <w:tcBorders>
              <w:top w:val="nil"/>
              <w:left w:val="nil"/>
              <w:bottom w:val="single" w:sz="4" w:space="0" w:color="auto"/>
              <w:right w:val="single" w:sz="4" w:space="0" w:color="auto"/>
            </w:tcBorders>
            <w:shd w:val="clear" w:color="auto" w:fill="auto"/>
            <w:noWrap/>
            <w:vAlign w:val="center"/>
            <w:hideMark/>
          </w:tcPr>
          <w:p w14:paraId="7E7A9881"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0.54</w:t>
            </w:r>
          </w:p>
        </w:tc>
        <w:tc>
          <w:tcPr>
            <w:tcW w:w="928" w:type="dxa"/>
            <w:tcBorders>
              <w:top w:val="nil"/>
              <w:left w:val="nil"/>
              <w:bottom w:val="single" w:sz="4" w:space="0" w:color="auto"/>
              <w:right w:val="single" w:sz="4" w:space="0" w:color="auto"/>
            </w:tcBorders>
            <w:shd w:val="clear" w:color="auto" w:fill="auto"/>
            <w:noWrap/>
            <w:vAlign w:val="center"/>
            <w:hideMark/>
          </w:tcPr>
          <w:p w14:paraId="40398B91"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0.22</w:t>
            </w:r>
          </w:p>
        </w:tc>
        <w:tc>
          <w:tcPr>
            <w:tcW w:w="92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AAC1981"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0F52CF">
              <w:rPr>
                <w:rFonts w:ascii="Times New Roman" w:eastAsia="Times New Roman" w:hAnsi="Times New Roman" w:cs="Times New Roman"/>
                <w:color w:val="9C0006"/>
                <w:sz w:val="16"/>
                <w:szCs w:val="16"/>
                <w:lang w:val="en-US"/>
              </w:rPr>
              <w:t>9.31</w:t>
            </w:r>
          </w:p>
        </w:tc>
        <w:tc>
          <w:tcPr>
            <w:tcW w:w="928" w:type="dxa"/>
            <w:tcBorders>
              <w:top w:val="nil"/>
              <w:left w:val="nil"/>
              <w:bottom w:val="single" w:sz="4" w:space="0" w:color="auto"/>
              <w:right w:val="single" w:sz="4" w:space="0" w:color="auto"/>
            </w:tcBorders>
            <w:shd w:val="clear" w:color="auto" w:fill="auto"/>
            <w:noWrap/>
            <w:vAlign w:val="center"/>
            <w:hideMark/>
          </w:tcPr>
          <w:p w14:paraId="375B7648"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1.57</w:t>
            </w:r>
          </w:p>
        </w:tc>
      </w:tr>
      <w:tr w:rsidR="00E73956" w:rsidRPr="000F52CF" w14:paraId="1CEA5CD1" w14:textId="77777777" w:rsidTr="000F52CF">
        <w:trPr>
          <w:trHeight w:val="450"/>
        </w:trPr>
        <w:tc>
          <w:tcPr>
            <w:tcW w:w="924" w:type="dxa"/>
            <w:tcBorders>
              <w:top w:val="nil"/>
              <w:left w:val="single" w:sz="4" w:space="0" w:color="auto"/>
              <w:bottom w:val="single" w:sz="4" w:space="0" w:color="auto"/>
              <w:right w:val="single" w:sz="4" w:space="0" w:color="auto"/>
            </w:tcBorders>
            <w:shd w:val="clear" w:color="auto" w:fill="auto"/>
            <w:vAlign w:val="center"/>
            <w:hideMark/>
          </w:tcPr>
          <w:p w14:paraId="03FA7AC5"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100%</w:t>
            </w:r>
          </w:p>
        </w:tc>
        <w:tc>
          <w:tcPr>
            <w:tcW w:w="955" w:type="dxa"/>
            <w:vMerge/>
            <w:tcBorders>
              <w:top w:val="nil"/>
              <w:left w:val="single" w:sz="4" w:space="0" w:color="auto"/>
              <w:bottom w:val="single" w:sz="4" w:space="0" w:color="000000"/>
              <w:right w:val="single" w:sz="4" w:space="0" w:color="auto"/>
            </w:tcBorders>
            <w:vAlign w:val="center"/>
            <w:hideMark/>
          </w:tcPr>
          <w:p w14:paraId="3B447F34"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3" w:type="dxa"/>
            <w:vMerge w:val="restart"/>
            <w:tcBorders>
              <w:top w:val="nil"/>
              <w:left w:val="single" w:sz="4" w:space="0" w:color="auto"/>
              <w:bottom w:val="single" w:sz="4" w:space="0" w:color="auto"/>
              <w:right w:val="single" w:sz="4" w:space="0" w:color="auto"/>
            </w:tcBorders>
            <w:shd w:val="clear" w:color="auto" w:fill="auto"/>
            <w:vAlign w:val="center"/>
            <w:hideMark/>
          </w:tcPr>
          <w:p w14:paraId="4DD0CB1A"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SBFD DL</w:t>
            </w:r>
          </w:p>
        </w:tc>
        <w:tc>
          <w:tcPr>
            <w:tcW w:w="1186" w:type="dxa"/>
            <w:tcBorders>
              <w:top w:val="nil"/>
              <w:left w:val="nil"/>
              <w:bottom w:val="single" w:sz="4" w:space="0" w:color="auto"/>
              <w:right w:val="single" w:sz="4" w:space="0" w:color="auto"/>
            </w:tcBorders>
            <w:shd w:val="clear" w:color="auto" w:fill="auto"/>
            <w:vAlign w:val="center"/>
            <w:hideMark/>
          </w:tcPr>
          <w:p w14:paraId="5E0C7CC9"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Option 2 (same gain)</w:t>
            </w:r>
          </w:p>
        </w:tc>
        <w:tc>
          <w:tcPr>
            <w:tcW w:w="933" w:type="dxa"/>
            <w:vMerge w:val="restart"/>
            <w:tcBorders>
              <w:top w:val="nil"/>
              <w:left w:val="single" w:sz="4" w:space="0" w:color="auto"/>
              <w:bottom w:val="single" w:sz="4" w:space="0" w:color="auto"/>
              <w:right w:val="single" w:sz="4" w:space="0" w:color="auto"/>
            </w:tcBorders>
            <w:shd w:val="clear" w:color="auto" w:fill="auto"/>
            <w:vAlign w:val="center"/>
            <w:hideMark/>
          </w:tcPr>
          <w:p w14:paraId="201C0AC8"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Option 2:</w:t>
            </w:r>
            <w:r w:rsidRPr="000F52CF">
              <w:rPr>
                <w:rFonts w:ascii="Times New Roman" w:eastAsia="Times New Roman" w:hAnsi="Times New Roman" w:cs="Times New Roman"/>
                <w:sz w:val="16"/>
                <w:szCs w:val="16"/>
                <w:lang w:val="en-US"/>
              </w:rPr>
              <w:br/>
              <w:t>SBFD: 30 dBm</w:t>
            </w:r>
          </w:p>
        </w:tc>
        <w:tc>
          <w:tcPr>
            <w:tcW w:w="929" w:type="dxa"/>
            <w:vMerge/>
            <w:tcBorders>
              <w:top w:val="nil"/>
              <w:left w:val="single" w:sz="4" w:space="0" w:color="auto"/>
              <w:bottom w:val="single" w:sz="4" w:space="0" w:color="auto"/>
              <w:right w:val="single" w:sz="4" w:space="0" w:color="auto"/>
            </w:tcBorders>
            <w:vAlign w:val="center"/>
            <w:hideMark/>
          </w:tcPr>
          <w:p w14:paraId="6ED65360"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2F4976F9"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6" w:type="dxa"/>
            <w:tcBorders>
              <w:top w:val="nil"/>
              <w:left w:val="nil"/>
              <w:bottom w:val="single" w:sz="4" w:space="0" w:color="auto"/>
              <w:right w:val="single" w:sz="4" w:space="0" w:color="auto"/>
            </w:tcBorders>
            <w:shd w:val="clear" w:color="auto" w:fill="auto"/>
            <w:noWrap/>
            <w:vAlign w:val="center"/>
            <w:hideMark/>
          </w:tcPr>
          <w:p w14:paraId="3065F3EB"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0.04</w:t>
            </w:r>
          </w:p>
        </w:tc>
        <w:tc>
          <w:tcPr>
            <w:tcW w:w="928" w:type="dxa"/>
            <w:tcBorders>
              <w:top w:val="nil"/>
              <w:left w:val="nil"/>
              <w:bottom w:val="single" w:sz="4" w:space="0" w:color="auto"/>
              <w:right w:val="single" w:sz="4" w:space="0" w:color="auto"/>
            </w:tcBorders>
            <w:shd w:val="clear" w:color="auto" w:fill="auto"/>
            <w:noWrap/>
            <w:vAlign w:val="center"/>
            <w:hideMark/>
          </w:tcPr>
          <w:p w14:paraId="524B4075"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0.06</w:t>
            </w:r>
          </w:p>
        </w:tc>
        <w:tc>
          <w:tcPr>
            <w:tcW w:w="927" w:type="dxa"/>
            <w:tcBorders>
              <w:top w:val="nil"/>
              <w:left w:val="nil"/>
              <w:bottom w:val="single" w:sz="4" w:space="0" w:color="auto"/>
              <w:right w:val="single" w:sz="4" w:space="0" w:color="auto"/>
            </w:tcBorders>
            <w:shd w:val="clear" w:color="auto" w:fill="auto"/>
            <w:noWrap/>
            <w:vAlign w:val="center"/>
            <w:hideMark/>
          </w:tcPr>
          <w:p w14:paraId="2BF4AA49"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0.26</w:t>
            </w:r>
          </w:p>
        </w:tc>
        <w:tc>
          <w:tcPr>
            <w:tcW w:w="928" w:type="dxa"/>
            <w:tcBorders>
              <w:top w:val="nil"/>
              <w:left w:val="nil"/>
              <w:bottom w:val="single" w:sz="4" w:space="0" w:color="auto"/>
              <w:right w:val="single" w:sz="4" w:space="0" w:color="auto"/>
            </w:tcBorders>
            <w:shd w:val="clear" w:color="auto" w:fill="auto"/>
            <w:noWrap/>
            <w:vAlign w:val="center"/>
            <w:hideMark/>
          </w:tcPr>
          <w:p w14:paraId="64358DEE"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0.07</w:t>
            </w:r>
          </w:p>
        </w:tc>
      </w:tr>
      <w:tr w:rsidR="00E73956" w:rsidRPr="000F52CF" w14:paraId="07BC8676" w14:textId="77777777" w:rsidTr="000F52CF">
        <w:trPr>
          <w:trHeight w:val="450"/>
        </w:trPr>
        <w:tc>
          <w:tcPr>
            <w:tcW w:w="924" w:type="dxa"/>
            <w:tcBorders>
              <w:top w:val="nil"/>
              <w:left w:val="single" w:sz="4" w:space="0" w:color="auto"/>
              <w:bottom w:val="single" w:sz="4" w:space="0" w:color="auto"/>
              <w:right w:val="single" w:sz="4" w:space="0" w:color="auto"/>
            </w:tcBorders>
            <w:shd w:val="clear" w:color="auto" w:fill="auto"/>
            <w:vAlign w:val="center"/>
            <w:hideMark/>
          </w:tcPr>
          <w:p w14:paraId="65F76DCE"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10%</w:t>
            </w:r>
          </w:p>
        </w:tc>
        <w:tc>
          <w:tcPr>
            <w:tcW w:w="955" w:type="dxa"/>
            <w:vMerge/>
            <w:tcBorders>
              <w:top w:val="nil"/>
              <w:left w:val="single" w:sz="4" w:space="0" w:color="auto"/>
              <w:bottom w:val="single" w:sz="4" w:space="0" w:color="000000"/>
              <w:right w:val="single" w:sz="4" w:space="0" w:color="auto"/>
            </w:tcBorders>
            <w:vAlign w:val="center"/>
            <w:hideMark/>
          </w:tcPr>
          <w:p w14:paraId="603C544C"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3" w:type="dxa"/>
            <w:vMerge/>
            <w:tcBorders>
              <w:top w:val="nil"/>
              <w:left w:val="single" w:sz="4" w:space="0" w:color="auto"/>
              <w:bottom w:val="single" w:sz="4" w:space="0" w:color="auto"/>
              <w:right w:val="single" w:sz="4" w:space="0" w:color="auto"/>
            </w:tcBorders>
            <w:vAlign w:val="center"/>
            <w:hideMark/>
          </w:tcPr>
          <w:p w14:paraId="057AC6FF"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5230E0E1"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Option 2 (same gain)</w:t>
            </w:r>
          </w:p>
        </w:tc>
        <w:tc>
          <w:tcPr>
            <w:tcW w:w="933" w:type="dxa"/>
            <w:vMerge/>
            <w:tcBorders>
              <w:top w:val="nil"/>
              <w:left w:val="single" w:sz="4" w:space="0" w:color="auto"/>
              <w:bottom w:val="single" w:sz="4" w:space="0" w:color="auto"/>
              <w:right w:val="single" w:sz="4" w:space="0" w:color="auto"/>
            </w:tcBorders>
            <w:vAlign w:val="center"/>
            <w:hideMark/>
          </w:tcPr>
          <w:p w14:paraId="382FF314"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9" w:type="dxa"/>
            <w:vMerge/>
            <w:tcBorders>
              <w:top w:val="nil"/>
              <w:left w:val="single" w:sz="4" w:space="0" w:color="auto"/>
              <w:bottom w:val="single" w:sz="4" w:space="0" w:color="auto"/>
              <w:right w:val="single" w:sz="4" w:space="0" w:color="auto"/>
            </w:tcBorders>
            <w:vAlign w:val="center"/>
            <w:hideMark/>
          </w:tcPr>
          <w:p w14:paraId="228D09DA"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17BFC3E5"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6" w:type="dxa"/>
            <w:tcBorders>
              <w:top w:val="nil"/>
              <w:left w:val="nil"/>
              <w:bottom w:val="single" w:sz="4" w:space="0" w:color="auto"/>
              <w:right w:val="single" w:sz="4" w:space="0" w:color="auto"/>
            </w:tcBorders>
            <w:shd w:val="clear" w:color="auto" w:fill="auto"/>
            <w:noWrap/>
            <w:vAlign w:val="center"/>
            <w:hideMark/>
          </w:tcPr>
          <w:p w14:paraId="32CAD78C"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0.02</w:t>
            </w:r>
          </w:p>
        </w:tc>
        <w:tc>
          <w:tcPr>
            <w:tcW w:w="928" w:type="dxa"/>
            <w:tcBorders>
              <w:top w:val="nil"/>
              <w:left w:val="nil"/>
              <w:bottom w:val="single" w:sz="4" w:space="0" w:color="auto"/>
              <w:right w:val="single" w:sz="4" w:space="0" w:color="auto"/>
            </w:tcBorders>
            <w:shd w:val="clear" w:color="auto" w:fill="auto"/>
            <w:noWrap/>
            <w:vAlign w:val="center"/>
            <w:hideMark/>
          </w:tcPr>
          <w:p w14:paraId="2ABBE7E8"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0.03</w:t>
            </w:r>
          </w:p>
        </w:tc>
        <w:tc>
          <w:tcPr>
            <w:tcW w:w="927" w:type="dxa"/>
            <w:tcBorders>
              <w:top w:val="nil"/>
              <w:left w:val="nil"/>
              <w:bottom w:val="single" w:sz="4" w:space="0" w:color="auto"/>
              <w:right w:val="single" w:sz="4" w:space="0" w:color="auto"/>
            </w:tcBorders>
            <w:shd w:val="clear" w:color="auto" w:fill="auto"/>
            <w:noWrap/>
            <w:vAlign w:val="center"/>
            <w:hideMark/>
          </w:tcPr>
          <w:p w14:paraId="05BC8527"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0.14</w:t>
            </w:r>
          </w:p>
        </w:tc>
        <w:tc>
          <w:tcPr>
            <w:tcW w:w="928" w:type="dxa"/>
            <w:tcBorders>
              <w:top w:val="nil"/>
              <w:left w:val="nil"/>
              <w:bottom w:val="single" w:sz="4" w:space="0" w:color="auto"/>
              <w:right w:val="single" w:sz="4" w:space="0" w:color="auto"/>
            </w:tcBorders>
            <w:shd w:val="clear" w:color="auto" w:fill="auto"/>
            <w:noWrap/>
            <w:vAlign w:val="center"/>
            <w:hideMark/>
          </w:tcPr>
          <w:p w14:paraId="2C4CE2CA"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0.09</w:t>
            </w:r>
          </w:p>
        </w:tc>
      </w:tr>
      <w:tr w:rsidR="00E73956" w:rsidRPr="000F52CF" w14:paraId="41261853" w14:textId="77777777" w:rsidTr="000F52CF">
        <w:trPr>
          <w:trHeight w:val="450"/>
        </w:trPr>
        <w:tc>
          <w:tcPr>
            <w:tcW w:w="924" w:type="dxa"/>
            <w:tcBorders>
              <w:top w:val="nil"/>
              <w:left w:val="single" w:sz="4" w:space="0" w:color="auto"/>
              <w:bottom w:val="single" w:sz="4" w:space="0" w:color="auto"/>
              <w:right w:val="single" w:sz="4" w:space="0" w:color="auto"/>
            </w:tcBorders>
            <w:shd w:val="clear" w:color="auto" w:fill="auto"/>
            <w:vAlign w:val="center"/>
            <w:hideMark/>
          </w:tcPr>
          <w:p w14:paraId="667F2373"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100%</w:t>
            </w:r>
          </w:p>
        </w:tc>
        <w:tc>
          <w:tcPr>
            <w:tcW w:w="955" w:type="dxa"/>
            <w:vMerge/>
            <w:tcBorders>
              <w:top w:val="nil"/>
              <w:left w:val="single" w:sz="4" w:space="0" w:color="auto"/>
              <w:bottom w:val="single" w:sz="4" w:space="0" w:color="000000"/>
              <w:right w:val="single" w:sz="4" w:space="0" w:color="auto"/>
            </w:tcBorders>
            <w:vAlign w:val="center"/>
            <w:hideMark/>
          </w:tcPr>
          <w:p w14:paraId="367FD0AA"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3" w:type="dxa"/>
            <w:vMerge w:val="restart"/>
            <w:tcBorders>
              <w:top w:val="nil"/>
              <w:left w:val="single" w:sz="4" w:space="0" w:color="auto"/>
              <w:bottom w:val="single" w:sz="4" w:space="0" w:color="auto"/>
              <w:right w:val="single" w:sz="4" w:space="0" w:color="auto"/>
            </w:tcBorders>
            <w:shd w:val="clear" w:color="auto" w:fill="auto"/>
            <w:vAlign w:val="center"/>
            <w:hideMark/>
          </w:tcPr>
          <w:p w14:paraId="6074D416"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SBFD UL</w:t>
            </w:r>
          </w:p>
        </w:tc>
        <w:tc>
          <w:tcPr>
            <w:tcW w:w="1186" w:type="dxa"/>
            <w:tcBorders>
              <w:top w:val="nil"/>
              <w:left w:val="nil"/>
              <w:bottom w:val="single" w:sz="4" w:space="0" w:color="auto"/>
              <w:right w:val="single" w:sz="4" w:space="0" w:color="auto"/>
            </w:tcBorders>
            <w:shd w:val="clear" w:color="auto" w:fill="auto"/>
            <w:vAlign w:val="center"/>
            <w:hideMark/>
          </w:tcPr>
          <w:p w14:paraId="7CF93105"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Option 2 (same gain)</w:t>
            </w:r>
          </w:p>
        </w:tc>
        <w:tc>
          <w:tcPr>
            <w:tcW w:w="933" w:type="dxa"/>
            <w:vMerge/>
            <w:tcBorders>
              <w:top w:val="nil"/>
              <w:left w:val="single" w:sz="4" w:space="0" w:color="auto"/>
              <w:bottom w:val="single" w:sz="4" w:space="0" w:color="auto"/>
              <w:right w:val="single" w:sz="4" w:space="0" w:color="auto"/>
            </w:tcBorders>
            <w:vAlign w:val="center"/>
            <w:hideMark/>
          </w:tcPr>
          <w:p w14:paraId="7EDA95A2"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9" w:type="dxa"/>
            <w:vMerge/>
            <w:tcBorders>
              <w:top w:val="nil"/>
              <w:left w:val="single" w:sz="4" w:space="0" w:color="auto"/>
              <w:bottom w:val="single" w:sz="4" w:space="0" w:color="auto"/>
              <w:right w:val="single" w:sz="4" w:space="0" w:color="auto"/>
            </w:tcBorders>
            <w:vAlign w:val="center"/>
            <w:hideMark/>
          </w:tcPr>
          <w:p w14:paraId="22AB5BC5"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22EC480B"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6" w:type="dxa"/>
            <w:tcBorders>
              <w:top w:val="nil"/>
              <w:left w:val="nil"/>
              <w:bottom w:val="single" w:sz="4" w:space="0" w:color="auto"/>
              <w:right w:val="single" w:sz="4" w:space="0" w:color="auto"/>
            </w:tcBorders>
            <w:shd w:val="clear" w:color="auto" w:fill="auto"/>
            <w:noWrap/>
            <w:vAlign w:val="center"/>
            <w:hideMark/>
          </w:tcPr>
          <w:p w14:paraId="5D949FAB"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0.21</w:t>
            </w:r>
          </w:p>
        </w:tc>
        <w:tc>
          <w:tcPr>
            <w:tcW w:w="928" w:type="dxa"/>
            <w:tcBorders>
              <w:top w:val="nil"/>
              <w:left w:val="nil"/>
              <w:bottom w:val="single" w:sz="4" w:space="0" w:color="auto"/>
              <w:right w:val="single" w:sz="4" w:space="0" w:color="auto"/>
            </w:tcBorders>
            <w:shd w:val="clear" w:color="auto" w:fill="auto"/>
            <w:noWrap/>
            <w:vAlign w:val="center"/>
            <w:hideMark/>
          </w:tcPr>
          <w:p w14:paraId="29BE3C83"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0.04</w:t>
            </w:r>
          </w:p>
        </w:tc>
        <w:tc>
          <w:tcPr>
            <w:tcW w:w="927" w:type="dxa"/>
            <w:tcBorders>
              <w:top w:val="nil"/>
              <w:left w:val="nil"/>
              <w:bottom w:val="single" w:sz="4" w:space="0" w:color="auto"/>
              <w:right w:val="single" w:sz="4" w:space="0" w:color="auto"/>
            </w:tcBorders>
            <w:shd w:val="clear" w:color="auto" w:fill="auto"/>
            <w:noWrap/>
            <w:vAlign w:val="center"/>
            <w:hideMark/>
          </w:tcPr>
          <w:p w14:paraId="02243BD2"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3.26</w:t>
            </w:r>
          </w:p>
        </w:tc>
        <w:tc>
          <w:tcPr>
            <w:tcW w:w="928" w:type="dxa"/>
            <w:tcBorders>
              <w:top w:val="nil"/>
              <w:left w:val="nil"/>
              <w:bottom w:val="single" w:sz="4" w:space="0" w:color="auto"/>
              <w:right w:val="single" w:sz="4" w:space="0" w:color="auto"/>
            </w:tcBorders>
            <w:shd w:val="clear" w:color="auto" w:fill="auto"/>
            <w:noWrap/>
            <w:vAlign w:val="center"/>
            <w:hideMark/>
          </w:tcPr>
          <w:p w14:paraId="43178CAE"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0.45</w:t>
            </w:r>
          </w:p>
        </w:tc>
      </w:tr>
      <w:tr w:rsidR="00E73956" w:rsidRPr="000F52CF" w14:paraId="0D117874" w14:textId="77777777" w:rsidTr="000F52CF">
        <w:trPr>
          <w:trHeight w:val="450"/>
        </w:trPr>
        <w:tc>
          <w:tcPr>
            <w:tcW w:w="924" w:type="dxa"/>
            <w:tcBorders>
              <w:top w:val="nil"/>
              <w:left w:val="single" w:sz="4" w:space="0" w:color="auto"/>
              <w:bottom w:val="single" w:sz="4" w:space="0" w:color="auto"/>
              <w:right w:val="single" w:sz="4" w:space="0" w:color="auto"/>
            </w:tcBorders>
            <w:shd w:val="clear" w:color="auto" w:fill="auto"/>
            <w:vAlign w:val="center"/>
            <w:hideMark/>
          </w:tcPr>
          <w:p w14:paraId="6D7FF39A"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10%</w:t>
            </w:r>
          </w:p>
        </w:tc>
        <w:tc>
          <w:tcPr>
            <w:tcW w:w="955" w:type="dxa"/>
            <w:vMerge/>
            <w:tcBorders>
              <w:top w:val="nil"/>
              <w:left w:val="single" w:sz="4" w:space="0" w:color="auto"/>
              <w:bottom w:val="single" w:sz="4" w:space="0" w:color="000000"/>
              <w:right w:val="single" w:sz="4" w:space="0" w:color="auto"/>
            </w:tcBorders>
            <w:vAlign w:val="center"/>
            <w:hideMark/>
          </w:tcPr>
          <w:p w14:paraId="60B157C6"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3" w:type="dxa"/>
            <w:vMerge/>
            <w:tcBorders>
              <w:top w:val="nil"/>
              <w:left w:val="single" w:sz="4" w:space="0" w:color="auto"/>
              <w:bottom w:val="single" w:sz="4" w:space="0" w:color="auto"/>
              <w:right w:val="single" w:sz="4" w:space="0" w:color="auto"/>
            </w:tcBorders>
            <w:vAlign w:val="center"/>
            <w:hideMark/>
          </w:tcPr>
          <w:p w14:paraId="0E813873"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0E5F4E60" w14:textId="77777777" w:rsidR="000F52CF" w:rsidRPr="000F52CF" w:rsidRDefault="000F52CF" w:rsidP="000F52CF">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0F52CF">
              <w:rPr>
                <w:rFonts w:ascii="Times New Roman" w:eastAsia="Times New Roman" w:hAnsi="Times New Roman" w:cs="Times New Roman"/>
                <w:sz w:val="16"/>
                <w:szCs w:val="16"/>
                <w:lang w:val="en-US"/>
              </w:rPr>
              <w:t>Option 2 (same gain)</w:t>
            </w:r>
          </w:p>
        </w:tc>
        <w:tc>
          <w:tcPr>
            <w:tcW w:w="933" w:type="dxa"/>
            <w:vMerge/>
            <w:tcBorders>
              <w:top w:val="nil"/>
              <w:left w:val="single" w:sz="4" w:space="0" w:color="auto"/>
              <w:bottom w:val="single" w:sz="4" w:space="0" w:color="auto"/>
              <w:right w:val="single" w:sz="4" w:space="0" w:color="auto"/>
            </w:tcBorders>
            <w:vAlign w:val="center"/>
            <w:hideMark/>
          </w:tcPr>
          <w:p w14:paraId="794E6DFF"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9" w:type="dxa"/>
            <w:vMerge/>
            <w:tcBorders>
              <w:top w:val="nil"/>
              <w:left w:val="single" w:sz="4" w:space="0" w:color="auto"/>
              <w:bottom w:val="single" w:sz="4" w:space="0" w:color="auto"/>
              <w:right w:val="single" w:sz="4" w:space="0" w:color="auto"/>
            </w:tcBorders>
            <w:vAlign w:val="center"/>
            <w:hideMark/>
          </w:tcPr>
          <w:p w14:paraId="50DEC785"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0D992B23" w14:textId="77777777" w:rsidR="000F52CF" w:rsidRPr="000F52CF" w:rsidRDefault="000F52CF" w:rsidP="000F52CF">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6" w:type="dxa"/>
            <w:tcBorders>
              <w:top w:val="nil"/>
              <w:left w:val="nil"/>
              <w:bottom w:val="single" w:sz="4" w:space="0" w:color="auto"/>
              <w:right w:val="single" w:sz="4" w:space="0" w:color="auto"/>
            </w:tcBorders>
            <w:shd w:val="clear" w:color="auto" w:fill="auto"/>
            <w:noWrap/>
            <w:vAlign w:val="center"/>
            <w:hideMark/>
          </w:tcPr>
          <w:p w14:paraId="48188DD2"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0.68</w:t>
            </w:r>
          </w:p>
        </w:tc>
        <w:tc>
          <w:tcPr>
            <w:tcW w:w="928" w:type="dxa"/>
            <w:tcBorders>
              <w:top w:val="nil"/>
              <w:left w:val="nil"/>
              <w:bottom w:val="single" w:sz="4" w:space="0" w:color="auto"/>
              <w:right w:val="single" w:sz="4" w:space="0" w:color="auto"/>
            </w:tcBorders>
            <w:shd w:val="clear" w:color="auto" w:fill="auto"/>
            <w:noWrap/>
            <w:vAlign w:val="center"/>
            <w:hideMark/>
          </w:tcPr>
          <w:p w14:paraId="71057C4A"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0.02</w:t>
            </w:r>
          </w:p>
        </w:tc>
        <w:tc>
          <w:tcPr>
            <w:tcW w:w="92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A7E1C43"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0F52CF">
              <w:rPr>
                <w:rFonts w:ascii="Times New Roman" w:eastAsia="Times New Roman" w:hAnsi="Times New Roman" w:cs="Times New Roman"/>
                <w:color w:val="9C0006"/>
                <w:sz w:val="16"/>
                <w:szCs w:val="16"/>
                <w:lang w:val="en-US"/>
              </w:rPr>
              <w:t>10.1</w:t>
            </w:r>
          </w:p>
        </w:tc>
        <w:tc>
          <w:tcPr>
            <w:tcW w:w="928" w:type="dxa"/>
            <w:tcBorders>
              <w:top w:val="nil"/>
              <w:left w:val="nil"/>
              <w:bottom w:val="single" w:sz="4" w:space="0" w:color="auto"/>
              <w:right w:val="single" w:sz="4" w:space="0" w:color="auto"/>
            </w:tcBorders>
            <w:shd w:val="clear" w:color="auto" w:fill="auto"/>
            <w:noWrap/>
            <w:vAlign w:val="center"/>
            <w:hideMark/>
          </w:tcPr>
          <w:p w14:paraId="530F406F" w14:textId="77777777" w:rsidR="000F52CF" w:rsidRPr="000F52CF" w:rsidRDefault="000F52CF" w:rsidP="000F52CF">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0F52CF">
              <w:rPr>
                <w:rFonts w:ascii="Times New Roman" w:eastAsia="Times New Roman" w:hAnsi="Times New Roman" w:cs="Times New Roman"/>
                <w:color w:val="000000"/>
                <w:sz w:val="16"/>
                <w:szCs w:val="16"/>
                <w:lang w:val="en-US"/>
              </w:rPr>
              <w:t>1.41</w:t>
            </w:r>
          </w:p>
        </w:tc>
      </w:tr>
    </w:tbl>
    <w:p w14:paraId="6BFE90EF" w14:textId="77777777" w:rsidR="0043215A" w:rsidRDefault="0043215A" w:rsidP="00644B6A">
      <w:pPr>
        <w:rPr>
          <w:lang w:val="en-US"/>
        </w:rPr>
      </w:pPr>
    </w:p>
    <w:p w14:paraId="026FA7AC" w14:textId="77777777" w:rsidR="00644B6A" w:rsidRDefault="00644B6A" w:rsidP="00644B6A">
      <w:pPr>
        <w:rPr>
          <w:lang w:val="en-US"/>
        </w:rPr>
      </w:pPr>
    </w:p>
    <w:p w14:paraId="108024F7" w14:textId="77777777" w:rsidR="00644B6A" w:rsidRDefault="00644B6A" w:rsidP="00644B6A">
      <w:pPr>
        <w:rPr>
          <w:lang w:val="en-US"/>
        </w:rPr>
      </w:pPr>
      <w:r>
        <w:rPr>
          <w:lang w:val="en-US"/>
        </w:rPr>
        <w:t>Based on the results above, the following recommendations are proposed for this scenario and case:</w:t>
      </w:r>
    </w:p>
    <w:p w14:paraId="1F16C30B" w14:textId="74CF14F0" w:rsidR="00644B6A" w:rsidRPr="006B4412" w:rsidRDefault="00644B6A" w:rsidP="00644B6A">
      <w:pPr>
        <w:rPr>
          <w:b/>
          <w:bCs/>
        </w:rPr>
      </w:pPr>
      <w:r w:rsidRPr="009D3E26">
        <w:rPr>
          <w:b/>
          <w:bCs/>
          <w:lang w:val="en-US"/>
        </w:rPr>
        <w:t xml:space="preserve">Proposal </w:t>
      </w:r>
      <w:r w:rsidR="005C792F">
        <w:rPr>
          <w:b/>
          <w:bCs/>
          <w:lang w:val="en-US"/>
        </w:rPr>
        <w:t>20</w:t>
      </w:r>
      <w:r w:rsidRPr="009D3E26">
        <w:rPr>
          <w:b/>
          <w:bCs/>
          <w:lang w:val="en-US"/>
        </w:rPr>
        <w:t xml:space="preserve">: </w:t>
      </w:r>
      <w:r w:rsidRPr="006B4412">
        <w:rPr>
          <w:b/>
          <w:bCs/>
        </w:rPr>
        <w:t xml:space="preserve">The </w:t>
      </w:r>
      <w:r>
        <w:rPr>
          <w:b/>
          <w:bCs/>
        </w:rPr>
        <w:t xml:space="preserve">SBFD DL </w:t>
      </w:r>
      <w:r w:rsidRPr="006B4412">
        <w:rPr>
          <w:b/>
          <w:bCs/>
        </w:rPr>
        <w:t>performance degradation for U</w:t>
      </w:r>
      <w:r w:rsidR="00E16BD2">
        <w:rPr>
          <w:b/>
          <w:bCs/>
        </w:rPr>
        <w:t>rban Macro</w:t>
      </w:r>
      <w:r w:rsidRPr="006B4412">
        <w:rPr>
          <w:b/>
          <w:bCs/>
        </w:rPr>
        <w:t xml:space="preserve"> </w:t>
      </w:r>
      <w:r w:rsidR="000D5E88">
        <w:rPr>
          <w:b/>
          <w:bCs/>
        </w:rPr>
        <w:t xml:space="preserve">FR2-1 </w:t>
      </w:r>
      <w:r w:rsidRPr="006B4412">
        <w:rPr>
          <w:b/>
          <w:bCs/>
        </w:rPr>
        <w:t xml:space="preserve">Case </w:t>
      </w:r>
      <w:r>
        <w:rPr>
          <w:b/>
          <w:bCs/>
        </w:rPr>
        <w:t>3</w:t>
      </w:r>
      <w:r w:rsidRPr="006B4412">
        <w:rPr>
          <w:b/>
          <w:bCs/>
        </w:rPr>
        <w:t xml:space="preserve"> is acceptable when </w:t>
      </w:r>
      <w:r>
        <w:rPr>
          <w:b/>
          <w:bCs/>
        </w:rPr>
        <w:t>TDD DL is adopted in the aggressor network.</w:t>
      </w:r>
    </w:p>
    <w:p w14:paraId="522901A2" w14:textId="47631FAB" w:rsidR="006879D7" w:rsidRPr="00BF50E7" w:rsidRDefault="00644B6A" w:rsidP="00B334F7">
      <w:pPr>
        <w:rPr>
          <w:lang w:val="en-US"/>
        </w:rPr>
      </w:pPr>
      <w:r w:rsidRPr="009D3E26">
        <w:rPr>
          <w:b/>
          <w:bCs/>
          <w:lang w:val="en-US"/>
        </w:rPr>
        <w:t xml:space="preserve">Proposal </w:t>
      </w:r>
      <w:r w:rsidR="00B34360">
        <w:rPr>
          <w:b/>
          <w:bCs/>
          <w:lang w:val="en-US"/>
        </w:rPr>
        <w:t>2</w:t>
      </w:r>
      <w:r w:rsidR="005C792F">
        <w:rPr>
          <w:b/>
          <w:bCs/>
          <w:lang w:val="en-US"/>
        </w:rPr>
        <w:t>1</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w:t>
      </w:r>
      <w:r w:rsidR="00E16BD2" w:rsidRPr="006B4412">
        <w:rPr>
          <w:b/>
          <w:bCs/>
        </w:rPr>
        <w:t>U</w:t>
      </w:r>
      <w:r w:rsidR="00E16BD2">
        <w:rPr>
          <w:b/>
          <w:bCs/>
        </w:rPr>
        <w:t>rban Macro</w:t>
      </w:r>
      <w:r w:rsidR="00E16BD2" w:rsidRPr="006B4412">
        <w:rPr>
          <w:b/>
          <w:bCs/>
        </w:rPr>
        <w:t xml:space="preserve"> </w:t>
      </w:r>
      <w:r w:rsidR="000D5E88">
        <w:rPr>
          <w:b/>
          <w:bCs/>
        </w:rPr>
        <w:t xml:space="preserve">FR2-1 </w:t>
      </w:r>
      <w:r w:rsidRPr="006B4412">
        <w:rPr>
          <w:b/>
          <w:bCs/>
        </w:rPr>
        <w:t xml:space="preserve">Case </w:t>
      </w:r>
      <w:r>
        <w:rPr>
          <w:b/>
          <w:bCs/>
        </w:rPr>
        <w:t>3</w:t>
      </w:r>
      <w:r w:rsidRPr="006B4412">
        <w:rPr>
          <w:b/>
          <w:bCs/>
        </w:rPr>
        <w:t xml:space="preserve"> is acceptable when </w:t>
      </w:r>
      <w:r>
        <w:rPr>
          <w:b/>
          <w:bCs/>
        </w:rPr>
        <w:t>TDD DL is adopted in the aggressor network</w:t>
      </w:r>
      <w:r w:rsidR="00773511">
        <w:rPr>
          <w:b/>
          <w:bCs/>
        </w:rPr>
        <w:t>.</w:t>
      </w:r>
    </w:p>
    <w:p w14:paraId="30E53F88" w14:textId="40C2ACED" w:rsidR="007A4373" w:rsidRDefault="009029F7" w:rsidP="009029F7">
      <w:pPr>
        <w:pStyle w:val="Heading2"/>
        <w:rPr>
          <w:lang w:val="en-US"/>
        </w:rPr>
      </w:pPr>
      <w:r>
        <w:rPr>
          <w:lang w:val="en-US"/>
        </w:rPr>
        <w:t>3.4 Case 4 – SBFD as victim</w:t>
      </w:r>
      <w:r w:rsidR="000468D9">
        <w:rPr>
          <w:lang w:val="en-US"/>
        </w:rPr>
        <w:t xml:space="preserve"> with TDD UL as aggressor</w:t>
      </w:r>
    </w:p>
    <w:p w14:paraId="7FA34048" w14:textId="3FAC8348" w:rsidR="00C1602B" w:rsidRPr="00A609D2" w:rsidRDefault="00C1602B" w:rsidP="00C1602B">
      <w:pPr>
        <w:rPr>
          <w:lang w:val="en-US"/>
        </w:rPr>
      </w:pPr>
      <w:r>
        <w:rPr>
          <w:lang w:val="en-US"/>
        </w:rPr>
        <w:t xml:space="preserve">This set of results analyze the coexistence for the Case 4. We evaluate here the performance degradation of a network using SFBD while the aggressor network uses TDD UL or there is no adjacent channel interference. </w:t>
      </w:r>
    </w:p>
    <w:p w14:paraId="540DA894" w14:textId="1E70D067" w:rsidR="00E913B6" w:rsidRDefault="00E913B6" w:rsidP="00E913B6">
      <w:pPr>
        <w:pStyle w:val="Heading4"/>
        <w:ind w:left="0" w:firstLine="0"/>
        <w:rPr>
          <w:lang w:val="en-US"/>
        </w:rPr>
      </w:pPr>
      <w:r w:rsidRPr="00FC6DDC">
        <w:rPr>
          <w:lang w:val="en-US"/>
        </w:rPr>
        <w:t>3.4.1 Scenario 1: FR1 Urban Macro</w:t>
      </w:r>
      <w:r w:rsidR="00A861FC">
        <w:rPr>
          <w:lang w:val="en-US"/>
        </w:rPr>
        <w:t>½</w:t>
      </w:r>
    </w:p>
    <w:p w14:paraId="32305B05" w14:textId="56EE1546" w:rsidR="0076049F" w:rsidRDefault="00183EFB" w:rsidP="00431DAD">
      <w:pPr>
        <w:rPr>
          <w:lang w:val="en-US"/>
        </w:rPr>
      </w:pPr>
      <w:r>
        <w:rPr>
          <w:lang w:val="en-US"/>
        </w:rPr>
        <w:fldChar w:fldCharType="begin"/>
      </w:r>
      <w:r>
        <w:rPr>
          <w:lang w:val="en-US"/>
        </w:rPr>
        <w:instrText xml:space="preserve"> REF _Ref146718832 \h </w:instrText>
      </w:r>
      <w:r>
        <w:rPr>
          <w:lang w:val="en-US"/>
        </w:rPr>
      </w:r>
      <w:r>
        <w:rPr>
          <w:lang w:val="en-US"/>
        </w:rPr>
        <w:fldChar w:fldCharType="separate"/>
      </w:r>
      <w:r w:rsidR="004D336C">
        <w:t xml:space="preserve">Figure </w:t>
      </w:r>
      <w:r w:rsidR="004D336C">
        <w:rPr>
          <w:noProof/>
        </w:rPr>
        <w:t>16</w:t>
      </w:r>
      <w:r>
        <w:rPr>
          <w:lang w:val="en-US"/>
        </w:rPr>
        <w:fldChar w:fldCharType="end"/>
      </w:r>
      <w:r>
        <w:rPr>
          <w:lang w:val="en-US"/>
        </w:rPr>
        <w:t xml:space="preserve"> </w:t>
      </w:r>
      <w:r w:rsidR="00E168D4">
        <w:rPr>
          <w:lang w:val="en-US"/>
        </w:rPr>
        <w:fldChar w:fldCharType="begin"/>
      </w:r>
      <w:r w:rsidR="00E168D4">
        <w:rPr>
          <w:lang w:val="en-US"/>
        </w:rPr>
        <w:instrText xml:space="preserve"> REF _Ref142658349 \h </w:instrText>
      </w:r>
      <w:r w:rsidR="006A1638">
        <w:rPr>
          <w:lang w:val="en-US"/>
        </w:rPr>
        <w:instrText xml:space="preserve"> \* MERGEFORMAT </w:instrText>
      </w:r>
      <w:r w:rsidR="00E168D4">
        <w:rPr>
          <w:lang w:val="en-US"/>
        </w:rPr>
      </w:r>
      <w:r w:rsidR="00E168D4">
        <w:rPr>
          <w:lang w:val="en-US"/>
        </w:rPr>
        <w:fldChar w:fldCharType="separate"/>
      </w:r>
      <w:r w:rsidR="00E168D4">
        <w:rPr>
          <w:lang w:val="en-US"/>
        </w:rPr>
        <w:fldChar w:fldCharType="end"/>
      </w:r>
      <w:r w:rsidR="00CB6B9F">
        <w:rPr>
          <w:lang w:val="en-US"/>
        </w:rPr>
        <w:t xml:space="preserve">shows the </w:t>
      </w:r>
      <w:r w:rsidR="00446483">
        <w:rPr>
          <w:lang w:val="en-US"/>
        </w:rPr>
        <w:t>D</w:t>
      </w:r>
      <w:r w:rsidR="00CB6B9F">
        <w:rPr>
          <w:lang w:val="en-US"/>
        </w:rPr>
        <w:t xml:space="preserve">L performance of SBFD when there is no aggressor network and when SBFD coexists with TDD </w:t>
      </w:r>
      <w:r w:rsidR="00446483">
        <w:rPr>
          <w:lang w:val="en-US"/>
        </w:rPr>
        <w:t>U</w:t>
      </w:r>
      <w:r w:rsidR="00CB6B9F">
        <w:rPr>
          <w:lang w:val="en-US"/>
        </w:rPr>
        <w:t xml:space="preserve">L. </w:t>
      </w:r>
      <w:r w:rsidR="00CD202F">
        <w:rPr>
          <w:lang w:val="en-US"/>
        </w:rPr>
        <w:t xml:space="preserve">Results show that </w:t>
      </w:r>
      <w:r w:rsidR="00464B34">
        <w:rPr>
          <w:lang w:val="en-US"/>
        </w:rPr>
        <w:t xml:space="preserve">the </w:t>
      </w:r>
      <w:r w:rsidR="0089172E">
        <w:rPr>
          <w:lang w:val="en-US"/>
        </w:rPr>
        <w:t xml:space="preserve">degradation due to the presence of </w:t>
      </w:r>
      <w:r w:rsidR="00882CC0">
        <w:rPr>
          <w:lang w:val="en-US"/>
        </w:rPr>
        <w:t xml:space="preserve">TDD UL is quite low for any of the considered cases. The trends are very similar for the 2 antenna BS configurations at the victim network. </w:t>
      </w:r>
    </w:p>
    <w:p w14:paraId="6D429F8E" w14:textId="77777777" w:rsidR="00F542B9" w:rsidRDefault="00776607" w:rsidP="00F542B9">
      <w:pPr>
        <w:keepNext/>
        <w:jc w:val="center"/>
      </w:pPr>
      <w:r w:rsidRPr="00776607">
        <w:rPr>
          <w:noProof/>
        </w:rPr>
        <w:drawing>
          <wp:inline distT="0" distB="0" distL="0" distR="0" wp14:anchorId="6810D049" wp14:editId="417D308B">
            <wp:extent cx="5112301" cy="3919717"/>
            <wp:effectExtent l="0" t="0" r="0" b="508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rotWithShape="1">
                    <a:blip r:embed="rId28">
                      <a:extLst>
                        <a:ext uri="{28A0092B-C50C-407E-A947-70E740481C1C}">
                          <a14:useLocalDpi xmlns:a14="http://schemas.microsoft.com/office/drawing/2010/main" val="0"/>
                        </a:ext>
                      </a:extLst>
                    </a:blip>
                    <a:srcRect l="8451" t="1859" r="7949" b="6482"/>
                    <a:stretch/>
                  </pic:blipFill>
                  <pic:spPr bwMode="auto">
                    <a:xfrm>
                      <a:off x="0" y="0"/>
                      <a:ext cx="5112654" cy="3919988"/>
                    </a:xfrm>
                    <a:prstGeom prst="rect">
                      <a:avLst/>
                    </a:prstGeom>
                    <a:noFill/>
                    <a:ln>
                      <a:noFill/>
                    </a:ln>
                    <a:extLst>
                      <a:ext uri="{53640926-AAD7-44D8-BBD7-CCE9431645EC}">
                        <a14:shadowObscured xmlns:a14="http://schemas.microsoft.com/office/drawing/2010/main"/>
                      </a:ext>
                    </a:extLst>
                  </pic:spPr>
                </pic:pic>
              </a:graphicData>
            </a:graphic>
          </wp:inline>
        </w:drawing>
      </w:r>
    </w:p>
    <w:p w14:paraId="459E1BB3" w14:textId="591462A8" w:rsidR="00872C9F" w:rsidRDefault="00F542B9" w:rsidP="00F542B9">
      <w:pPr>
        <w:pStyle w:val="Caption"/>
        <w:jc w:val="center"/>
      </w:pPr>
      <w:bookmarkStart w:id="43" w:name="_Ref146718832"/>
      <w:r>
        <w:t xml:space="preserve">Figure </w:t>
      </w:r>
      <w:r>
        <w:fldChar w:fldCharType="begin"/>
      </w:r>
      <w:r>
        <w:instrText xml:space="preserve"> SEQ Figure \* ARABIC </w:instrText>
      </w:r>
      <w:r>
        <w:fldChar w:fldCharType="separate"/>
      </w:r>
      <w:r w:rsidR="004D336C">
        <w:rPr>
          <w:noProof/>
        </w:rPr>
        <w:t>16</w:t>
      </w:r>
      <w:r>
        <w:fldChar w:fldCharType="end"/>
      </w:r>
      <w:bookmarkEnd w:id="43"/>
      <w:r>
        <w:t>. Comparison of DL SINR and DL throughput for Case 4 Urban Macro scenario</w:t>
      </w:r>
    </w:p>
    <w:p w14:paraId="3F7E497E" w14:textId="77777777" w:rsidR="00D70419" w:rsidRPr="00D70419" w:rsidRDefault="00D70419" w:rsidP="00B334F7"/>
    <w:p w14:paraId="6524E182" w14:textId="06B303E3" w:rsidR="00431DAD" w:rsidRDefault="00E527F0">
      <w:pPr>
        <w:rPr>
          <w:lang w:val="en-US"/>
        </w:rPr>
      </w:pPr>
      <w:r>
        <w:rPr>
          <w:lang w:val="en-US"/>
        </w:rPr>
        <w:fldChar w:fldCharType="begin"/>
      </w:r>
      <w:r>
        <w:rPr>
          <w:lang w:val="en-US"/>
        </w:rPr>
        <w:instrText xml:space="preserve"> REF _Ref146722949 \h </w:instrText>
      </w:r>
      <w:r>
        <w:rPr>
          <w:lang w:val="en-US"/>
        </w:rPr>
      </w:r>
      <w:r>
        <w:rPr>
          <w:lang w:val="en-US"/>
        </w:rPr>
        <w:fldChar w:fldCharType="separate"/>
      </w:r>
      <w:r w:rsidR="004D336C">
        <w:t xml:space="preserve">Table </w:t>
      </w:r>
      <w:r w:rsidR="004D336C">
        <w:rPr>
          <w:noProof/>
        </w:rPr>
        <w:t>16</w:t>
      </w:r>
      <w:r>
        <w:rPr>
          <w:lang w:val="en-US"/>
        </w:rPr>
        <w:fldChar w:fldCharType="end"/>
      </w:r>
      <w:r>
        <w:rPr>
          <w:lang w:val="en-US"/>
        </w:rPr>
        <w:t xml:space="preserve"> </w:t>
      </w:r>
      <w:r w:rsidR="00882CC0">
        <w:rPr>
          <w:lang w:val="en-US"/>
        </w:rPr>
        <w:t>includes the coexistence performance of SBFD in both DL and UL when TDD UL acts as the aggressor network. The table includes different grid offsets and highlights the throughput degradation values above 5%. On the SBFD UL performance, the effect of the TDD UL ACI is quite low and the performance of the victim network is barely affected. Thus, we can conclude that both the UE-to-BS and UE-to-UE ACI ar</w:t>
      </w:r>
      <w:r w:rsidR="006806CE">
        <w:rPr>
          <w:lang w:val="en-US"/>
        </w:rPr>
        <w:t>e low for this scenario.</w:t>
      </w:r>
    </w:p>
    <w:p w14:paraId="49382819" w14:textId="77777777" w:rsidR="001D113C" w:rsidRDefault="001D113C" w:rsidP="00B334F7"/>
    <w:p w14:paraId="450A77DD" w14:textId="1B6BD38E" w:rsidR="00880B9B" w:rsidRDefault="00880B9B" w:rsidP="00B334F7">
      <w:pPr>
        <w:pStyle w:val="Caption"/>
        <w:keepNext/>
      </w:pPr>
      <w:bookmarkStart w:id="44" w:name="_Ref146722949"/>
      <w:r>
        <w:lastRenderedPageBreak/>
        <w:t xml:space="preserve">Table </w:t>
      </w:r>
      <w:r>
        <w:fldChar w:fldCharType="begin"/>
      </w:r>
      <w:r>
        <w:instrText xml:space="preserve"> SEQ Table \* ARABIC </w:instrText>
      </w:r>
      <w:r>
        <w:fldChar w:fldCharType="separate"/>
      </w:r>
      <w:r w:rsidR="004D336C">
        <w:rPr>
          <w:noProof/>
        </w:rPr>
        <w:t>16</w:t>
      </w:r>
      <w:r>
        <w:fldChar w:fldCharType="end"/>
      </w:r>
      <w:bookmarkEnd w:id="44"/>
      <w:r>
        <w:t>. Performance summary for Case 3 Urban Macro scenario</w:t>
      </w:r>
    </w:p>
    <w:tbl>
      <w:tblPr>
        <w:tblW w:w="10202" w:type="dxa"/>
        <w:tblLook w:val="04A0" w:firstRow="1" w:lastRow="0" w:firstColumn="1" w:lastColumn="0" w:noHBand="0" w:noVBand="1"/>
      </w:tblPr>
      <w:tblGrid>
        <w:gridCol w:w="893"/>
        <w:gridCol w:w="925"/>
        <w:gridCol w:w="904"/>
        <w:gridCol w:w="1149"/>
        <w:gridCol w:w="904"/>
        <w:gridCol w:w="900"/>
        <w:gridCol w:w="925"/>
        <w:gridCol w:w="897"/>
        <w:gridCol w:w="900"/>
        <w:gridCol w:w="898"/>
        <w:gridCol w:w="900"/>
        <w:gridCol w:w="7"/>
      </w:tblGrid>
      <w:tr w:rsidR="00880B9B" w:rsidRPr="00880B9B" w14:paraId="41C85D17" w14:textId="77777777" w:rsidTr="00B334F7">
        <w:trPr>
          <w:trHeight w:val="527"/>
        </w:trPr>
        <w:tc>
          <w:tcPr>
            <w:tcW w:w="10202"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E2FFB4B"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bookmarkStart w:id="45" w:name="_Ref142658349"/>
            <w:r w:rsidRPr="00B334F7">
              <w:rPr>
                <w:rFonts w:ascii="Times New Roman" w:eastAsia="Times New Roman" w:hAnsi="Times New Roman" w:cs="Times New Roman"/>
                <w:b/>
                <w:bCs/>
                <w:sz w:val="16"/>
                <w:szCs w:val="16"/>
                <w:lang w:val="en-US"/>
              </w:rPr>
              <w:t>Scenario 6: FR2-1 Urban Macro</w:t>
            </w:r>
            <w:r w:rsidRPr="00B334F7">
              <w:rPr>
                <w:rFonts w:ascii="Times New Roman" w:eastAsia="Times New Roman" w:hAnsi="Times New Roman" w:cs="Times New Roman"/>
                <w:b/>
                <w:bCs/>
                <w:sz w:val="16"/>
                <w:szCs w:val="16"/>
                <w:lang w:val="en-US"/>
              </w:rPr>
              <w:br/>
              <w:t>Case 3: SBFD as victim with TDD DL as aggressor</w:t>
            </w:r>
          </w:p>
        </w:tc>
      </w:tr>
      <w:tr w:rsidR="007E51FB" w:rsidRPr="007E51FB" w14:paraId="08894BFF" w14:textId="77777777" w:rsidTr="00880B9B">
        <w:trPr>
          <w:gridAfter w:val="1"/>
          <w:wAfter w:w="5" w:type="dxa"/>
          <w:trHeight w:val="501"/>
        </w:trPr>
        <w:tc>
          <w:tcPr>
            <w:tcW w:w="895" w:type="dxa"/>
            <w:vMerge w:val="restart"/>
            <w:tcBorders>
              <w:top w:val="nil"/>
              <w:left w:val="single" w:sz="4" w:space="0" w:color="auto"/>
              <w:bottom w:val="single" w:sz="4" w:space="0" w:color="auto"/>
              <w:right w:val="single" w:sz="4" w:space="0" w:color="auto"/>
            </w:tcBorders>
            <w:shd w:val="clear" w:color="auto" w:fill="auto"/>
            <w:vAlign w:val="center"/>
            <w:hideMark/>
          </w:tcPr>
          <w:p w14:paraId="3EA8041C"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925" w:type="dxa"/>
            <w:vMerge w:val="restart"/>
            <w:tcBorders>
              <w:top w:val="nil"/>
              <w:left w:val="single" w:sz="4" w:space="0" w:color="auto"/>
              <w:bottom w:val="single" w:sz="4" w:space="0" w:color="auto"/>
              <w:right w:val="single" w:sz="4" w:space="0" w:color="auto"/>
            </w:tcBorders>
            <w:shd w:val="clear" w:color="auto" w:fill="auto"/>
            <w:vAlign w:val="center"/>
            <w:hideMark/>
          </w:tcPr>
          <w:p w14:paraId="4EB28E52"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904" w:type="dxa"/>
            <w:vMerge w:val="restart"/>
            <w:tcBorders>
              <w:top w:val="nil"/>
              <w:left w:val="single" w:sz="4" w:space="0" w:color="auto"/>
              <w:bottom w:val="single" w:sz="4" w:space="0" w:color="auto"/>
              <w:right w:val="single" w:sz="4" w:space="0" w:color="auto"/>
            </w:tcBorders>
            <w:shd w:val="clear" w:color="auto" w:fill="auto"/>
            <w:vAlign w:val="center"/>
            <w:hideMark/>
          </w:tcPr>
          <w:p w14:paraId="330ACC10"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49" w:type="dxa"/>
            <w:vMerge w:val="restart"/>
            <w:tcBorders>
              <w:top w:val="nil"/>
              <w:left w:val="single" w:sz="4" w:space="0" w:color="auto"/>
              <w:bottom w:val="single" w:sz="4" w:space="0" w:color="auto"/>
              <w:right w:val="single" w:sz="4" w:space="0" w:color="auto"/>
            </w:tcBorders>
            <w:shd w:val="clear" w:color="auto" w:fill="auto"/>
            <w:vAlign w:val="center"/>
            <w:hideMark/>
          </w:tcPr>
          <w:p w14:paraId="40434759"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904" w:type="dxa"/>
            <w:vMerge w:val="restart"/>
            <w:tcBorders>
              <w:top w:val="nil"/>
              <w:left w:val="single" w:sz="4" w:space="0" w:color="auto"/>
              <w:bottom w:val="single" w:sz="4" w:space="0" w:color="auto"/>
              <w:right w:val="single" w:sz="4" w:space="0" w:color="auto"/>
            </w:tcBorders>
            <w:shd w:val="clear" w:color="auto" w:fill="auto"/>
            <w:vAlign w:val="center"/>
            <w:hideMark/>
          </w:tcPr>
          <w:p w14:paraId="7014EA62"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14:paraId="6D70B59F"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25" w:type="dxa"/>
            <w:vMerge w:val="restart"/>
            <w:tcBorders>
              <w:top w:val="nil"/>
              <w:left w:val="single" w:sz="4" w:space="0" w:color="auto"/>
              <w:bottom w:val="single" w:sz="4" w:space="0" w:color="auto"/>
              <w:right w:val="single" w:sz="4" w:space="0" w:color="auto"/>
            </w:tcBorders>
            <w:shd w:val="clear" w:color="auto" w:fill="auto"/>
            <w:vAlign w:val="center"/>
            <w:hideMark/>
          </w:tcPr>
          <w:p w14:paraId="17F49711"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17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5415DC"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7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D7529E"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880B9B" w:rsidRPr="00880B9B" w14:paraId="3D1B8BF5" w14:textId="77777777" w:rsidTr="00B334F7">
        <w:trPr>
          <w:gridAfter w:val="1"/>
          <w:wAfter w:w="5" w:type="dxa"/>
          <w:trHeight w:val="501"/>
        </w:trPr>
        <w:tc>
          <w:tcPr>
            <w:tcW w:w="895" w:type="dxa"/>
            <w:vMerge/>
            <w:tcBorders>
              <w:top w:val="nil"/>
              <w:left w:val="single" w:sz="4" w:space="0" w:color="auto"/>
              <w:bottom w:val="single" w:sz="4" w:space="0" w:color="auto"/>
              <w:right w:val="single" w:sz="4" w:space="0" w:color="auto"/>
            </w:tcBorders>
            <w:vAlign w:val="center"/>
            <w:hideMark/>
          </w:tcPr>
          <w:p w14:paraId="16352BE3"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25" w:type="dxa"/>
            <w:vMerge/>
            <w:tcBorders>
              <w:top w:val="nil"/>
              <w:left w:val="single" w:sz="4" w:space="0" w:color="auto"/>
              <w:bottom w:val="single" w:sz="4" w:space="0" w:color="auto"/>
              <w:right w:val="single" w:sz="4" w:space="0" w:color="auto"/>
            </w:tcBorders>
            <w:vAlign w:val="center"/>
            <w:hideMark/>
          </w:tcPr>
          <w:p w14:paraId="10E16A6D"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4" w:type="dxa"/>
            <w:vMerge/>
            <w:tcBorders>
              <w:top w:val="nil"/>
              <w:left w:val="single" w:sz="4" w:space="0" w:color="auto"/>
              <w:bottom w:val="single" w:sz="4" w:space="0" w:color="auto"/>
              <w:right w:val="single" w:sz="4" w:space="0" w:color="auto"/>
            </w:tcBorders>
            <w:vAlign w:val="center"/>
            <w:hideMark/>
          </w:tcPr>
          <w:p w14:paraId="32BC8B99"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49" w:type="dxa"/>
            <w:vMerge/>
            <w:tcBorders>
              <w:top w:val="nil"/>
              <w:left w:val="single" w:sz="4" w:space="0" w:color="auto"/>
              <w:bottom w:val="single" w:sz="4" w:space="0" w:color="auto"/>
              <w:right w:val="single" w:sz="4" w:space="0" w:color="auto"/>
            </w:tcBorders>
            <w:vAlign w:val="center"/>
            <w:hideMark/>
          </w:tcPr>
          <w:p w14:paraId="064448AC"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4" w:type="dxa"/>
            <w:vMerge/>
            <w:tcBorders>
              <w:top w:val="nil"/>
              <w:left w:val="single" w:sz="4" w:space="0" w:color="auto"/>
              <w:bottom w:val="single" w:sz="4" w:space="0" w:color="auto"/>
              <w:right w:val="single" w:sz="4" w:space="0" w:color="auto"/>
            </w:tcBorders>
            <w:vAlign w:val="center"/>
            <w:hideMark/>
          </w:tcPr>
          <w:p w14:paraId="04A4AB08"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0" w:type="dxa"/>
            <w:vMerge/>
            <w:tcBorders>
              <w:top w:val="nil"/>
              <w:left w:val="single" w:sz="4" w:space="0" w:color="auto"/>
              <w:bottom w:val="single" w:sz="4" w:space="0" w:color="auto"/>
              <w:right w:val="single" w:sz="4" w:space="0" w:color="auto"/>
            </w:tcBorders>
            <w:vAlign w:val="center"/>
            <w:hideMark/>
          </w:tcPr>
          <w:p w14:paraId="3C41FC64"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25" w:type="dxa"/>
            <w:vMerge/>
            <w:tcBorders>
              <w:top w:val="nil"/>
              <w:left w:val="single" w:sz="4" w:space="0" w:color="auto"/>
              <w:bottom w:val="single" w:sz="4" w:space="0" w:color="auto"/>
              <w:right w:val="single" w:sz="4" w:space="0" w:color="auto"/>
            </w:tcBorders>
            <w:vAlign w:val="center"/>
            <w:hideMark/>
          </w:tcPr>
          <w:p w14:paraId="4A7C61CB"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97" w:type="dxa"/>
            <w:gridSpan w:val="2"/>
            <w:vMerge/>
            <w:tcBorders>
              <w:top w:val="single" w:sz="4" w:space="0" w:color="auto"/>
              <w:left w:val="single" w:sz="4" w:space="0" w:color="auto"/>
              <w:bottom w:val="single" w:sz="4" w:space="0" w:color="auto"/>
              <w:right w:val="single" w:sz="4" w:space="0" w:color="auto"/>
            </w:tcBorders>
            <w:vAlign w:val="center"/>
            <w:hideMark/>
          </w:tcPr>
          <w:p w14:paraId="20C07DF1"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98" w:type="dxa"/>
            <w:gridSpan w:val="2"/>
            <w:vMerge/>
            <w:tcBorders>
              <w:top w:val="single" w:sz="4" w:space="0" w:color="auto"/>
              <w:left w:val="single" w:sz="4" w:space="0" w:color="auto"/>
              <w:bottom w:val="single" w:sz="4" w:space="0" w:color="auto"/>
              <w:right w:val="single" w:sz="4" w:space="0" w:color="auto"/>
            </w:tcBorders>
            <w:vAlign w:val="center"/>
            <w:hideMark/>
          </w:tcPr>
          <w:p w14:paraId="13AC4E2F"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E73956" w:rsidRPr="00880B9B" w14:paraId="2914475F" w14:textId="77777777" w:rsidTr="00880B9B">
        <w:trPr>
          <w:gridAfter w:val="1"/>
          <w:wAfter w:w="7" w:type="dxa"/>
          <w:trHeight w:val="501"/>
        </w:trPr>
        <w:tc>
          <w:tcPr>
            <w:tcW w:w="895" w:type="dxa"/>
            <w:vMerge/>
            <w:tcBorders>
              <w:top w:val="nil"/>
              <w:left w:val="single" w:sz="4" w:space="0" w:color="auto"/>
              <w:bottom w:val="single" w:sz="4" w:space="0" w:color="auto"/>
              <w:right w:val="single" w:sz="4" w:space="0" w:color="auto"/>
            </w:tcBorders>
            <w:vAlign w:val="center"/>
            <w:hideMark/>
          </w:tcPr>
          <w:p w14:paraId="64D51C47"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25" w:type="dxa"/>
            <w:vMerge/>
            <w:tcBorders>
              <w:top w:val="nil"/>
              <w:left w:val="single" w:sz="4" w:space="0" w:color="auto"/>
              <w:bottom w:val="single" w:sz="4" w:space="0" w:color="auto"/>
              <w:right w:val="single" w:sz="4" w:space="0" w:color="auto"/>
            </w:tcBorders>
            <w:vAlign w:val="center"/>
            <w:hideMark/>
          </w:tcPr>
          <w:p w14:paraId="5EAACDAC"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4" w:type="dxa"/>
            <w:vMerge/>
            <w:tcBorders>
              <w:top w:val="nil"/>
              <w:left w:val="single" w:sz="4" w:space="0" w:color="auto"/>
              <w:bottom w:val="single" w:sz="4" w:space="0" w:color="auto"/>
              <w:right w:val="single" w:sz="4" w:space="0" w:color="auto"/>
            </w:tcBorders>
            <w:vAlign w:val="center"/>
            <w:hideMark/>
          </w:tcPr>
          <w:p w14:paraId="59A11F51"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49" w:type="dxa"/>
            <w:vMerge/>
            <w:tcBorders>
              <w:top w:val="nil"/>
              <w:left w:val="single" w:sz="4" w:space="0" w:color="auto"/>
              <w:bottom w:val="single" w:sz="4" w:space="0" w:color="auto"/>
              <w:right w:val="single" w:sz="4" w:space="0" w:color="auto"/>
            </w:tcBorders>
            <w:vAlign w:val="center"/>
            <w:hideMark/>
          </w:tcPr>
          <w:p w14:paraId="153B4C7B"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4" w:type="dxa"/>
            <w:vMerge/>
            <w:tcBorders>
              <w:top w:val="nil"/>
              <w:left w:val="single" w:sz="4" w:space="0" w:color="auto"/>
              <w:bottom w:val="single" w:sz="4" w:space="0" w:color="auto"/>
              <w:right w:val="single" w:sz="4" w:space="0" w:color="auto"/>
            </w:tcBorders>
            <w:vAlign w:val="center"/>
            <w:hideMark/>
          </w:tcPr>
          <w:p w14:paraId="1EF1CD4C"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0" w:type="dxa"/>
            <w:vMerge/>
            <w:tcBorders>
              <w:top w:val="nil"/>
              <w:left w:val="single" w:sz="4" w:space="0" w:color="auto"/>
              <w:bottom w:val="single" w:sz="4" w:space="0" w:color="auto"/>
              <w:right w:val="single" w:sz="4" w:space="0" w:color="auto"/>
            </w:tcBorders>
            <w:vAlign w:val="center"/>
            <w:hideMark/>
          </w:tcPr>
          <w:p w14:paraId="3D5DA271"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25" w:type="dxa"/>
            <w:vMerge/>
            <w:tcBorders>
              <w:top w:val="nil"/>
              <w:left w:val="single" w:sz="4" w:space="0" w:color="auto"/>
              <w:bottom w:val="single" w:sz="4" w:space="0" w:color="auto"/>
              <w:right w:val="single" w:sz="4" w:space="0" w:color="auto"/>
            </w:tcBorders>
            <w:vAlign w:val="center"/>
            <w:hideMark/>
          </w:tcPr>
          <w:p w14:paraId="4C2DADFB" w14:textId="77777777" w:rsidR="00880B9B" w:rsidRPr="00B334F7" w:rsidRDefault="00880B9B" w:rsidP="00880B9B">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7" w:type="dxa"/>
            <w:tcBorders>
              <w:top w:val="nil"/>
              <w:left w:val="nil"/>
              <w:bottom w:val="single" w:sz="4" w:space="0" w:color="auto"/>
              <w:right w:val="single" w:sz="4" w:space="0" w:color="auto"/>
            </w:tcBorders>
            <w:shd w:val="clear" w:color="auto" w:fill="auto"/>
            <w:vAlign w:val="center"/>
            <w:hideMark/>
          </w:tcPr>
          <w:p w14:paraId="0F78435D"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99" w:type="dxa"/>
            <w:tcBorders>
              <w:top w:val="nil"/>
              <w:left w:val="nil"/>
              <w:bottom w:val="single" w:sz="4" w:space="0" w:color="auto"/>
              <w:right w:val="single" w:sz="4" w:space="0" w:color="auto"/>
            </w:tcBorders>
            <w:shd w:val="clear" w:color="auto" w:fill="auto"/>
            <w:vAlign w:val="center"/>
            <w:hideMark/>
          </w:tcPr>
          <w:p w14:paraId="13BCFDB6"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98" w:type="dxa"/>
            <w:tcBorders>
              <w:top w:val="nil"/>
              <w:left w:val="nil"/>
              <w:bottom w:val="single" w:sz="4" w:space="0" w:color="auto"/>
              <w:right w:val="single" w:sz="4" w:space="0" w:color="auto"/>
            </w:tcBorders>
            <w:shd w:val="clear" w:color="auto" w:fill="auto"/>
            <w:vAlign w:val="center"/>
            <w:hideMark/>
          </w:tcPr>
          <w:p w14:paraId="545DE810"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99" w:type="dxa"/>
            <w:tcBorders>
              <w:top w:val="nil"/>
              <w:left w:val="nil"/>
              <w:bottom w:val="single" w:sz="4" w:space="0" w:color="auto"/>
              <w:right w:val="single" w:sz="4" w:space="0" w:color="auto"/>
            </w:tcBorders>
            <w:shd w:val="clear" w:color="auto" w:fill="auto"/>
            <w:vAlign w:val="center"/>
            <w:hideMark/>
          </w:tcPr>
          <w:p w14:paraId="319C8973" w14:textId="77777777" w:rsidR="00880B9B" w:rsidRPr="00B334F7" w:rsidRDefault="00880B9B" w:rsidP="00880B9B">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B65919" w:rsidRPr="00880B9B" w14:paraId="345591B2" w14:textId="77777777" w:rsidTr="00880B9B">
        <w:trPr>
          <w:gridAfter w:val="1"/>
          <w:wAfter w:w="7" w:type="dxa"/>
          <w:trHeight w:val="752"/>
        </w:trPr>
        <w:tc>
          <w:tcPr>
            <w:tcW w:w="895" w:type="dxa"/>
            <w:tcBorders>
              <w:top w:val="nil"/>
              <w:left w:val="single" w:sz="4" w:space="0" w:color="auto"/>
              <w:bottom w:val="single" w:sz="4" w:space="0" w:color="auto"/>
              <w:right w:val="single" w:sz="4" w:space="0" w:color="auto"/>
            </w:tcBorders>
            <w:shd w:val="clear" w:color="auto" w:fill="auto"/>
            <w:vAlign w:val="center"/>
            <w:hideMark/>
          </w:tcPr>
          <w:p w14:paraId="0A02DEBB"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100%</w:t>
            </w:r>
          </w:p>
        </w:tc>
        <w:tc>
          <w:tcPr>
            <w:tcW w:w="925" w:type="dxa"/>
            <w:vMerge w:val="restart"/>
            <w:tcBorders>
              <w:top w:val="nil"/>
              <w:left w:val="single" w:sz="4" w:space="0" w:color="auto"/>
              <w:bottom w:val="single" w:sz="4" w:space="0" w:color="000000"/>
              <w:right w:val="single" w:sz="4" w:space="0" w:color="auto"/>
            </w:tcBorders>
            <w:shd w:val="clear" w:color="auto" w:fill="auto"/>
            <w:vAlign w:val="center"/>
            <w:hideMark/>
          </w:tcPr>
          <w:p w14:paraId="2B276FE5"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TDD DL</w:t>
            </w:r>
          </w:p>
        </w:tc>
        <w:tc>
          <w:tcPr>
            <w:tcW w:w="904" w:type="dxa"/>
            <w:vMerge w:val="restart"/>
            <w:tcBorders>
              <w:top w:val="nil"/>
              <w:left w:val="single" w:sz="4" w:space="0" w:color="auto"/>
              <w:bottom w:val="single" w:sz="4" w:space="0" w:color="auto"/>
              <w:right w:val="single" w:sz="4" w:space="0" w:color="auto"/>
            </w:tcBorders>
            <w:shd w:val="clear" w:color="auto" w:fill="auto"/>
            <w:vAlign w:val="center"/>
            <w:hideMark/>
          </w:tcPr>
          <w:p w14:paraId="22FC745E"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SBFD DL</w:t>
            </w:r>
          </w:p>
        </w:tc>
        <w:tc>
          <w:tcPr>
            <w:tcW w:w="1149" w:type="dxa"/>
            <w:tcBorders>
              <w:top w:val="nil"/>
              <w:left w:val="nil"/>
              <w:bottom w:val="single" w:sz="4" w:space="0" w:color="auto"/>
              <w:right w:val="single" w:sz="4" w:space="0" w:color="auto"/>
            </w:tcBorders>
            <w:shd w:val="clear" w:color="auto" w:fill="auto"/>
            <w:vAlign w:val="center"/>
            <w:hideMark/>
          </w:tcPr>
          <w:p w14:paraId="4A08FB43"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Option 1 (same size)</w:t>
            </w:r>
          </w:p>
        </w:tc>
        <w:tc>
          <w:tcPr>
            <w:tcW w:w="904" w:type="dxa"/>
            <w:vMerge w:val="restart"/>
            <w:tcBorders>
              <w:top w:val="nil"/>
              <w:left w:val="single" w:sz="4" w:space="0" w:color="auto"/>
              <w:bottom w:val="single" w:sz="4" w:space="0" w:color="auto"/>
              <w:right w:val="single" w:sz="4" w:space="0" w:color="auto"/>
            </w:tcBorders>
            <w:shd w:val="clear" w:color="auto" w:fill="auto"/>
            <w:vAlign w:val="center"/>
            <w:hideMark/>
          </w:tcPr>
          <w:p w14:paraId="559C0D42"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Option 1:</w:t>
            </w:r>
            <w:r w:rsidRPr="00880B9B">
              <w:rPr>
                <w:rFonts w:ascii="Times New Roman" w:eastAsia="Times New Roman" w:hAnsi="Times New Roman" w:cs="Times New Roman"/>
                <w:sz w:val="16"/>
                <w:szCs w:val="16"/>
                <w:lang w:val="en-US"/>
              </w:rPr>
              <w:br/>
              <w:t>SBFD: 27 dBm</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14:paraId="5EB58799"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Enabled</w:t>
            </w:r>
          </w:p>
        </w:tc>
        <w:tc>
          <w:tcPr>
            <w:tcW w:w="925" w:type="dxa"/>
            <w:vMerge w:val="restart"/>
            <w:tcBorders>
              <w:top w:val="nil"/>
              <w:left w:val="single" w:sz="4" w:space="0" w:color="auto"/>
              <w:bottom w:val="single" w:sz="4" w:space="0" w:color="auto"/>
              <w:right w:val="single" w:sz="4" w:space="0" w:color="auto"/>
            </w:tcBorders>
            <w:shd w:val="clear" w:color="auto" w:fill="auto"/>
            <w:vAlign w:val="center"/>
            <w:hideMark/>
          </w:tcPr>
          <w:p w14:paraId="751FE4A0"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TDD: 30 dBm</w:t>
            </w:r>
          </w:p>
        </w:tc>
        <w:tc>
          <w:tcPr>
            <w:tcW w:w="897" w:type="dxa"/>
            <w:tcBorders>
              <w:top w:val="nil"/>
              <w:left w:val="nil"/>
              <w:bottom w:val="single" w:sz="4" w:space="0" w:color="auto"/>
              <w:right w:val="single" w:sz="4" w:space="0" w:color="auto"/>
            </w:tcBorders>
            <w:shd w:val="clear" w:color="auto" w:fill="auto"/>
            <w:noWrap/>
            <w:vAlign w:val="center"/>
            <w:hideMark/>
          </w:tcPr>
          <w:p w14:paraId="6392CB7A"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0.03</w:t>
            </w:r>
          </w:p>
        </w:tc>
        <w:tc>
          <w:tcPr>
            <w:tcW w:w="899" w:type="dxa"/>
            <w:tcBorders>
              <w:top w:val="nil"/>
              <w:left w:val="nil"/>
              <w:bottom w:val="single" w:sz="4" w:space="0" w:color="auto"/>
              <w:right w:val="single" w:sz="4" w:space="0" w:color="auto"/>
            </w:tcBorders>
            <w:shd w:val="clear" w:color="auto" w:fill="auto"/>
            <w:noWrap/>
            <w:vAlign w:val="center"/>
            <w:hideMark/>
          </w:tcPr>
          <w:p w14:paraId="1195032E"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0.01</w:t>
            </w:r>
          </w:p>
        </w:tc>
        <w:tc>
          <w:tcPr>
            <w:tcW w:w="898" w:type="dxa"/>
            <w:tcBorders>
              <w:top w:val="nil"/>
              <w:left w:val="nil"/>
              <w:bottom w:val="single" w:sz="4" w:space="0" w:color="auto"/>
              <w:right w:val="single" w:sz="4" w:space="0" w:color="auto"/>
            </w:tcBorders>
            <w:shd w:val="clear" w:color="auto" w:fill="auto"/>
            <w:noWrap/>
            <w:vAlign w:val="center"/>
            <w:hideMark/>
          </w:tcPr>
          <w:p w14:paraId="1CA7B8DB"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0.28</w:t>
            </w:r>
          </w:p>
        </w:tc>
        <w:tc>
          <w:tcPr>
            <w:tcW w:w="899" w:type="dxa"/>
            <w:tcBorders>
              <w:top w:val="nil"/>
              <w:left w:val="nil"/>
              <w:bottom w:val="single" w:sz="4" w:space="0" w:color="auto"/>
              <w:right w:val="single" w:sz="4" w:space="0" w:color="auto"/>
            </w:tcBorders>
            <w:shd w:val="clear" w:color="auto" w:fill="auto"/>
            <w:noWrap/>
            <w:vAlign w:val="center"/>
            <w:hideMark/>
          </w:tcPr>
          <w:p w14:paraId="696B656D"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0.1</w:t>
            </w:r>
          </w:p>
        </w:tc>
      </w:tr>
      <w:tr w:rsidR="00B65919" w:rsidRPr="00880B9B" w14:paraId="07AB9112" w14:textId="77777777" w:rsidTr="00880B9B">
        <w:trPr>
          <w:gridAfter w:val="1"/>
          <w:wAfter w:w="7" w:type="dxa"/>
          <w:trHeight w:val="752"/>
        </w:trPr>
        <w:tc>
          <w:tcPr>
            <w:tcW w:w="895" w:type="dxa"/>
            <w:tcBorders>
              <w:top w:val="nil"/>
              <w:left w:val="single" w:sz="4" w:space="0" w:color="auto"/>
              <w:bottom w:val="single" w:sz="4" w:space="0" w:color="auto"/>
              <w:right w:val="single" w:sz="4" w:space="0" w:color="auto"/>
            </w:tcBorders>
            <w:shd w:val="clear" w:color="auto" w:fill="auto"/>
            <w:vAlign w:val="center"/>
            <w:hideMark/>
          </w:tcPr>
          <w:p w14:paraId="51C32B7C"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10%</w:t>
            </w:r>
          </w:p>
        </w:tc>
        <w:tc>
          <w:tcPr>
            <w:tcW w:w="925" w:type="dxa"/>
            <w:vMerge/>
            <w:tcBorders>
              <w:top w:val="nil"/>
              <w:left w:val="single" w:sz="4" w:space="0" w:color="auto"/>
              <w:bottom w:val="single" w:sz="4" w:space="0" w:color="000000"/>
              <w:right w:val="single" w:sz="4" w:space="0" w:color="auto"/>
            </w:tcBorders>
            <w:vAlign w:val="center"/>
            <w:hideMark/>
          </w:tcPr>
          <w:p w14:paraId="47681B5F"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4" w:type="dxa"/>
            <w:vMerge/>
            <w:tcBorders>
              <w:top w:val="nil"/>
              <w:left w:val="single" w:sz="4" w:space="0" w:color="auto"/>
              <w:bottom w:val="single" w:sz="4" w:space="0" w:color="auto"/>
              <w:right w:val="single" w:sz="4" w:space="0" w:color="auto"/>
            </w:tcBorders>
            <w:vAlign w:val="center"/>
            <w:hideMark/>
          </w:tcPr>
          <w:p w14:paraId="7FEEF7DB"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49" w:type="dxa"/>
            <w:tcBorders>
              <w:top w:val="nil"/>
              <w:left w:val="nil"/>
              <w:bottom w:val="single" w:sz="4" w:space="0" w:color="auto"/>
              <w:right w:val="single" w:sz="4" w:space="0" w:color="auto"/>
            </w:tcBorders>
            <w:shd w:val="clear" w:color="auto" w:fill="auto"/>
            <w:vAlign w:val="center"/>
            <w:hideMark/>
          </w:tcPr>
          <w:p w14:paraId="0DA77F6D"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Option 1 (same size)</w:t>
            </w:r>
          </w:p>
        </w:tc>
        <w:tc>
          <w:tcPr>
            <w:tcW w:w="904" w:type="dxa"/>
            <w:vMerge/>
            <w:tcBorders>
              <w:top w:val="nil"/>
              <w:left w:val="single" w:sz="4" w:space="0" w:color="auto"/>
              <w:bottom w:val="single" w:sz="4" w:space="0" w:color="auto"/>
              <w:right w:val="single" w:sz="4" w:space="0" w:color="auto"/>
            </w:tcBorders>
            <w:vAlign w:val="center"/>
            <w:hideMark/>
          </w:tcPr>
          <w:p w14:paraId="6DD03D9B"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0" w:type="dxa"/>
            <w:vMerge/>
            <w:tcBorders>
              <w:top w:val="nil"/>
              <w:left w:val="single" w:sz="4" w:space="0" w:color="auto"/>
              <w:bottom w:val="single" w:sz="4" w:space="0" w:color="auto"/>
              <w:right w:val="single" w:sz="4" w:space="0" w:color="auto"/>
            </w:tcBorders>
            <w:vAlign w:val="center"/>
            <w:hideMark/>
          </w:tcPr>
          <w:p w14:paraId="68D8484F"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5" w:type="dxa"/>
            <w:vMerge/>
            <w:tcBorders>
              <w:top w:val="nil"/>
              <w:left w:val="single" w:sz="4" w:space="0" w:color="auto"/>
              <w:bottom w:val="single" w:sz="4" w:space="0" w:color="auto"/>
              <w:right w:val="single" w:sz="4" w:space="0" w:color="auto"/>
            </w:tcBorders>
            <w:vAlign w:val="center"/>
            <w:hideMark/>
          </w:tcPr>
          <w:p w14:paraId="4C5AF935"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7" w:type="dxa"/>
            <w:tcBorders>
              <w:top w:val="nil"/>
              <w:left w:val="nil"/>
              <w:bottom w:val="single" w:sz="4" w:space="0" w:color="auto"/>
              <w:right w:val="single" w:sz="4" w:space="0" w:color="auto"/>
            </w:tcBorders>
            <w:shd w:val="clear" w:color="auto" w:fill="auto"/>
            <w:noWrap/>
            <w:vAlign w:val="center"/>
            <w:hideMark/>
          </w:tcPr>
          <w:p w14:paraId="59173F6B"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0.02</w:t>
            </w:r>
          </w:p>
        </w:tc>
        <w:tc>
          <w:tcPr>
            <w:tcW w:w="899" w:type="dxa"/>
            <w:tcBorders>
              <w:top w:val="nil"/>
              <w:left w:val="nil"/>
              <w:bottom w:val="single" w:sz="4" w:space="0" w:color="auto"/>
              <w:right w:val="single" w:sz="4" w:space="0" w:color="auto"/>
            </w:tcBorders>
            <w:shd w:val="clear" w:color="auto" w:fill="auto"/>
            <w:noWrap/>
            <w:vAlign w:val="center"/>
            <w:hideMark/>
          </w:tcPr>
          <w:p w14:paraId="6BE8CB8D"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0.04</w:t>
            </w:r>
          </w:p>
        </w:tc>
        <w:tc>
          <w:tcPr>
            <w:tcW w:w="898" w:type="dxa"/>
            <w:tcBorders>
              <w:top w:val="nil"/>
              <w:left w:val="nil"/>
              <w:bottom w:val="single" w:sz="4" w:space="0" w:color="auto"/>
              <w:right w:val="single" w:sz="4" w:space="0" w:color="auto"/>
            </w:tcBorders>
            <w:shd w:val="clear" w:color="auto" w:fill="auto"/>
            <w:noWrap/>
            <w:vAlign w:val="center"/>
            <w:hideMark/>
          </w:tcPr>
          <w:p w14:paraId="5CD5DEB3"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0.25</w:t>
            </w:r>
          </w:p>
        </w:tc>
        <w:tc>
          <w:tcPr>
            <w:tcW w:w="899" w:type="dxa"/>
            <w:tcBorders>
              <w:top w:val="nil"/>
              <w:left w:val="nil"/>
              <w:bottom w:val="single" w:sz="4" w:space="0" w:color="auto"/>
              <w:right w:val="single" w:sz="4" w:space="0" w:color="auto"/>
            </w:tcBorders>
            <w:shd w:val="clear" w:color="auto" w:fill="auto"/>
            <w:noWrap/>
            <w:vAlign w:val="center"/>
            <w:hideMark/>
          </w:tcPr>
          <w:p w14:paraId="13CD6A3F"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0.14</w:t>
            </w:r>
          </w:p>
        </w:tc>
      </w:tr>
      <w:tr w:rsidR="00B65919" w:rsidRPr="00880B9B" w14:paraId="33432AF3" w14:textId="77777777" w:rsidTr="00880B9B">
        <w:trPr>
          <w:gridAfter w:val="1"/>
          <w:wAfter w:w="7" w:type="dxa"/>
          <w:trHeight w:val="752"/>
        </w:trPr>
        <w:tc>
          <w:tcPr>
            <w:tcW w:w="895" w:type="dxa"/>
            <w:tcBorders>
              <w:top w:val="nil"/>
              <w:left w:val="single" w:sz="4" w:space="0" w:color="auto"/>
              <w:bottom w:val="single" w:sz="4" w:space="0" w:color="auto"/>
              <w:right w:val="single" w:sz="4" w:space="0" w:color="auto"/>
            </w:tcBorders>
            <w:shd w:val="clear" w:color="auto" w:fill="auto"/>
            <w:vAlign w:val="center"/>
            <w:hideMark/>
          </w:tcPr>
          <w:p w14:paraId="5BE90933"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100%</w:t>
            </w:r>
          </w:p>
        </w:tc>
        <w:tc>
          <w:tcPr>
            <w:tcW w:w="925" w:type="dxa"/>
            <w:vMerge/>
            <w:tcBorders>
              <w:top w:val="nil"/>
              <w:left w:val="single" w:sz="4" w:space="0" w:color="auto"/>
              <w:bottom w:val="single" w:sz="4" w:space="0" w:color="000000"/>
              <w:right w:val="single" w:sz="4" w:space="0" w:color="auto"/>
            </w:tcBorders>
            <w:vAlign w:val="center"/>
            <w:hideMark/>
          </w:tcPr>
          <w:p w14:paraId="1612C312"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4" w:type="dxa"/>
            <w:vMerge w:val="restart"/>
            <w:tcBorders>
              <w:top w:val="nil"/>
              <w:left w:val="single" w:sz="4" w:space="0" w:color="auto"/>
              <w:bottom w:val="single" w:sz="4" w:space="0" w:color="auto"/>
              <w:right w:val="single" w:sz="4" w:space="0" w:color="auto"/>
            </w:tcBorders>
            <w:shd w:val="clear" w:color="auto" w:fill="auto"/>
            <w:vAlign w:val="center"/>
            <w:hideMark/>
          </w:tcPr>
          <w:p w14:paraId="68D23F56"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SBFD UL</w:t>
            </w:r>
          </w:p>
        </w:tc>
        <w:tc>
          <w:tcPr>
            <w:tcW w:w="1149" w:type="dxa"/>
            <w:tcBorders>
              <w:top w:val="nil"/>
              <w:left w:val="nil"/>
              <w:bottom w:val="single" w:sz="4" w:space="0" w:color="auto"/>
              <w:right w:val="single" w:sz="4" w:space="0" w:color="auto"/>
            </w:tcBorders>
            <w:shd w:val="clear" w:color="auto" w:fill="auto"/>
            <w:vAlign w:val="center"/>
            <w:hideMark/>
          </w:tcPr>
          <w:p w14:paraId="64D4B01D"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Option 1 (same size)</w:t>
            </w:r>
          </w:p>
        </w:tc>
        <w:tc>
          <w:tcPr>
            <w:tcW w:w="904" w:type="dxa"/>
            <w:vMerge/>
            <w:tcBorders>
              <w:top w:val="nil"/>
              <w:left w:val="single" w:sz="4" w:space="0" w:color="auto"/>
              <w:bottom w:val="single" w:sz="4" w:space="0" w:color="auto"/>
              <w:right w:val="single" w:sz="4" w:space="0" w:color="auto"/>
            </w:tcBorders>
            <w:vAlign w:val="center"/>
            <w:hideMark/>
          </w:tcPr>
          <w:p w14:paraId="4E753BA0"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0" w:type="dxa"/>
            <w:vMerge/>
            <w:tcBorders>
              <w:top w:val="nil"/>
              <w:left w:val="single" w:sz="4" w:space="0" w:color="auto"/>
              <w:bottom w:val="single" w:sz="4" w:space="0" w:color="auto"/>
              <w:right w:val="single" w:sz="4" w:space="0" w:color="auto"/>
            </w:tcBorders>
            <w:vAlign w:val="center"/>
            <w:hideMark/>
          </w:tcPr>
          <w:p w14:paraId="027D42F8"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5" w:type="dxa"/>
            <w:vMerge/>
            <w:tcBorders>
              <w:top w:val="nil"/>
              <w:left w:val="single" w:sz="4" w:space="0" w:color="auto"/>
              <w:bottom w:val="single" w:sz="4" w:space="0" w:color="auto"/>
              <w:right w:val="single" w:sz="4" w:space="0" w:color="auto"/>
            </w:tcBorders>
            <w:vAlign w:val="center"/>
            <w:hideMark/>
          </w:tcPr>
          <w:p w14:paraId="1A7ECF68"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7" w:type="dxa"/>
            <w:tcBorders>
              <w:top w:val="nil"/>
              <w:left w:val="nil"/>
              <w:bottom w:val="single" w:sz="4" w:space="0" w:color="auto"/>
              <w:right w:val="single" w:sz="4" w:space="0" w:color="auto"/>
            </w:tcBorders>
            <w:shd w:val="clear" w:color="auto" w:fill="auto"/>
            <w:noWrap/>
            <w:vAlign w:val="center"/>
            <w:hideMark/>
          </w:tcPr>
          <w:p w14:paraId="0DE77BD0"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0.07</w:t>
            </w:r>
          </w:p>
        </w:tc>
        <w:tc>
          <w:tcPr>
            <w:tcW w:w="899" w:type="dxa"/>
            <w:tcBorders>
              <w:top w:val="nil"/>
              <w:left w:val="nil"/>
              <w:bottom w:val="single" w:sz="4" w:space="0" w:color="auto"/>
              <w:right w:val="single" w:sz="4" w:space="0" w:color="auto"/>
            </w:tcBorders>
            <w:shd w:val="clear" w:color="auto" w:fill="auto"/>
            <w:noWrap/>
            <w:vAlign w:val="center"/>
            <w:hideMark/>
          </w:tcPr>
          <w:p w14:paraId="0485996E"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0.07</w:t>
            </w:r>
          </w:p>
        </w:tc>
        <w:tc>
          <w:tcPr>
            <w:tcW w:w="898" w:type="dxa"/>
            <w:tcBorders>
              <w:top w:val="nil"/>
              <w:left w:val="nil"/>
              <w:bottom w:val="single" w:sz="4" w:space="0" w:color="auto"/>
              <w:right w:val="single" w:sz="4" w:space="0" w:color="auto"/>
            </w:tcBorders>
            <w:shd w:val="clear" w:color="auto" w:fill="auto"/>
            <w:noWrap/>
            <w:vAlign w:val="center"/>
            <w:hideMark/>
          </w:tcPr>
          <w:p w14:paraId="145BD3A6"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1.39</w:t>
            </w:r>
          </w:p>
        </w:tc>
        <w:tc>
          <w:tcPr>
            <w:tcW w:w="899" w:type="dxa"/>
            <w:tcBorders>
              <w:top w:val="nil"/>
              <w:left w:val="nil"/>
              <w:bottom w:val="single" w:sz="4" w:space="0" w:color="auto"/>
              <w:right w:val="single" w:sz="4" w:space="0" w:color="auto"/>
            </w:tcBorders>
            <w:shd w:val="clear" w:color="auto" w:fill="auto"/>
            <w:noWrap/>
            <w:vAlign w:val="center"/>
            <w:hideMark/>
          </w:tcPr>
          <w:p w14:paraId="21D3541C"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0.55</w:t>
            </w:r>
          </w:p>
        </w:tc>
      </w:tr>
      <w:tr w:rsidR="00B65919" w:rsidRPr="00880B9B" w14:paraId="0A344B32" w14:textId="77777777" w:rsidTr="00880B9B">
        <w:trPr>
          <w:gridAfter w:val="1"/>
          <w:wAfter w:w="7" w:type="dxa"/>
          <w:trHeight w:val="752"/>
        </w:trPr>
        <w:tc>
          <w:tcPr>
            <w:tcW w:w="895" w:type="dxa"/>
            <w:tcBorders>
              <w:top w:val="nil"/>
              <w:left w:val="single" w:sz="4" w:space="0" w:color="auto"/>
              <w:bottom w:val="single" w:sz="4" w:space="0" w:color="auto"/>
              <w:right w:val="single" w:sz="4" w:space="0" w:color="auto"/>
            </w:tcBorders>
            <w:shd w:val="clear" w:color="auto" w:fill="auto"/>
            <w:vAlign w:val="center"/>
            <w:hideMark/>
          </w:tcPr>
          <w:p w14:paraId="32D3860B"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10%</w:t>
            </w:r>
          </w:p>
        </w:tc>
        <w:tc>
          <w:tcPr>
            <w:tcW w:w="925" w:type="dxa"/>
            <w:vMerge/>
            <w:tcBorders>
              <w:top w:val="nil"/>
              <w:left w:val="single" w:sz="4" w:space="0" w:color="auto"/>
              <w:bottom w:val="single" w:sz="4" w:space="0" w:color="000000"/>
              <w:right w:val="single" w:sz="4" w:space="0" w:color="auto"/>
            </w:tcBorders>
            <w:vAlign w:val="center"/>
            <w:hideMark/>
          </w:tcPr>
          <w:p w14:paraId="77CA1EB2"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4" w:type="dxa"/>
            <w:vMerge/>
            <w:tcBorders>
              <w:top w:val="nil"/>
              <w:left w:val="single" w:sz="4" w:space="0" w:color="auto"/>
              <w:bottom w:val="single" w:sz="4" w:space="0" w:color="auto"/>
              <w:right w:val="single" w:sz="4" w:space="0" w:color="auto"/>
            </w:tcBorders>
            <w:vAlign w:val="center"/>
            <w:hideMark/>
          </w:tcPr>
          <w:p w14:paraId="2008968A"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49" w:type="dxa"/>
            <w:tcBorders>
              <w:top w:val="nil"/>
              <w:left w:val="nil"/>
              <w:bottom w:val="single" w:sz="4" w:space="0" w:color="auto"/>
              <w:right w:val="single" w:sz="4" w:space="0" w:color="auto"/>
            </w:tcBorders>
            <w:shd w:val="clear" w:color="auto" w:fill="auto"/>
            <w:vAlign w:val="center"/>
            <w:hideMark/>
          </w:tcPr>
          <w:p w14:paraId="0483F9FD"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Option 1 (same size)</w:t>
            </w:r>
          </w:p>
        </w:tc>
        <w:tc>
          <w:tcPr>
            <w:tcW w:w="904" w:type="dxa"/>
            <w:vMerge/>
            <w:tcBorders>
              <w:top w:val="nil"/>
              <w:left w:val="single" w:sz="4" w:space="0" w:color="auto"/>
              <w:bottom w:val="single" w:sz="4" w:space="0" w:color="auto"/>
              <w:right w:val="single" w:sz="4" w:space="0" w:color="auto"/>
            </w:tcBorders>
            <w:vAlign w:val="center"/>
            <w:hideMark/>
          </w:tcPr>
          <w:p w14:paraId="561A07D2"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0" w:type="dxa"/>
            <w:vMerge/>
            <w:tcBorders>
              <w:top w:val="nil"/>
              <w:left w:val="single" w:sz="4" w:space="0" w:color="auto"/>
              <w:bottom w:val="single" w:sz="4" w:space="0" w:color="auto"/>
              <w:right w:val="single" w:sz="4" w:space="0" w:color="auto"/>
            </w:tcBorders>
            <w:vAlign w:val="center"/>
            <w:hideMark/>
          </w:tcPr>
          <w:p w14:paraId="3FAAE3DF"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5" w:type="dxa"/>
            <w:vMerge/>
            <w:tcBorders>
              <w:top w:val="nil"/>
              <w:left w:val="single" w:sz="4" w:space="0" w:color="auto"/>
              <w:bottom w:val="single" w:sz="4" w:space="0" w:color="auto"/>
              <w:right w:val="single" w:sz="4" w:space="0" w:color="auto"/>
            </w:tcBorders>
            <w:vAlign w:val="center"/>
            <w:hideMark/>
          </w:tcPr>
          <w:p w14:paraId="19F4C106"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7" w:type="dxa"/>
            <w:tcBorders>
              <w:top w:val="nil"/>
              <w:left w:val="nil"/>
              <w:bottom w:val="single" w:sz="4" w:space="0" w:color="auto"/>
              <w:right w:val="single" w:sz="4" w:space="0" w:color="auto"/>
            </w:tcBorders>
            <w:shd w:val="clear" w:color="auto" w:fill="auto"/>
            <w:noWrap/>
            <w:vAlign w:val="center"/>
            <w:hideMark/>
          </w:tcPr>
          <w:p w14:paraId="5D9DC2F1"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0.54</w:t>
            </w:r>
          </w:p>
        </w:tc>
        <w:tc>
          <w:tcPr>
            <w:tcW w:w="899" w:type="dxa"/>
            <w:tcBorders>
              <w:top w:val="nil"/>
              <w:left w:val="nil"/>
              <w:bottom w:val="single" w:sz="4" w:space="0" w:color="auto"/>
              <w:right w:val="single" w:sz="4" w:space="0" w:color="auto"/>
            </w:tcBorders>
            <w:shd w:val="clear" w:color="auto" w:fill="auto"/>
            <w:noWrap/>
            <w:vAlign w:val="center"/>
            <w:hideMark/>
          </w:tcPr>
          <w:p w14:paraId="084C877F"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0.22</w:t>
            </w:r>
          </w:p>
        </w:tc>
        <w:tc>
          <w:tcPr>
            <w:tcW w:w="89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AF6D4D8"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880B9B">
              <w:rPr>
                <w:rFonts w:ascii="Times New Roman" w:eastAsia="Times New Roman" w:hAnsi="Times New Roman" w:cs="Times New Roman"/>
                <w:color w:val="9C0006"/>
                <w:sz w:val="16"/>
                <w:szCs w:val="16"/>
                <w:lang w:val="en-US"/>
              </w:rPr>
              <w:t>9.31</w:t>
            </w:r>
          </w:p>
        </w:tc>
        <w:tc>
          <w:tcPr>
            <w:tcW w:w="899" w:type="dxa"/>
            <w:tcBorders>
              <w:top w:val="nil"/>
              <w:left w:val="nil"/>
              <w:bottom w:val="single" w:sz="4" w:space="0" w:color="auto"/>
              <w:right w:val="single" w:sz="4" w:space="0" w:color="auto"/>
            </w:tcBorders>
            <w:shd w:val="clear" w:color="auto" w:fill="auto"/>
            <w:noWrap/>
            <w:vAlign w:val="center"/>
            <w:hideMark/>
          </w:tcPr>
          <w:p w14:paraId="6A506E22"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1.57</w:t>
            </w:r>
          </w:p>
        </w:tc>
      </w:tr>
      <w:tr w:rsidR="00B65919" w:rsidRPr="00880B9B" w14:paraId="79C27CB6" w14:textId="77777777" w:rsidTr="00880B9B">
        <w:trPr>
          <w:gridAfter w:val="1"/>
          <w:wAfter w:w="7" w:type="dxa"/>
          <w:trHeight w:val="752"/>
        </w:trPr>
        <w:tc>
          <w:tcPr>
            <w:tcW w:w="895" w:type="dxa"/>
            <w:tcBorders>
              <w:top w:val="nil"/>
              <w:left w:val="single" w:sz="4" w:space="0" w:color="auto"/>
              <w:bottom w:val="single" w:sz="4" w:space="0" w:color="auto"/>
              <w:right w:val="single" w:sz="4" w:space="0" w:color="auto"/>
            </w:tcBorders>
            <w:shd w:val="clear" w:color="auto" w:fill="auto"/>
            <w:vAlign w:val="center"/>
            <w:hideMark/>
          </w:tcPr>
          <w:p w14:paraId="133577FC"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100%</w:t>
            </w:r>
          </w:p>
        </w:tc>
        <w:tc>
          <w:tcPr>
            <w:tcW w:w="925" w:type="dxa"/>
            <w:vMerge/>
            <w:tcBorders>
              <w:top w:val="nil"/>
              <w:left w:val="single" w:sz="4" w:space="0" w:color="auto"/>
              <w:bottom w:val="single" w:sz="4" w:space="0" w:color="000000"/>
              <w:right w:val="single" w:sz="4" w:space="0" w:color="auto"/>
            </w:tcBorders>
            <w:vAlign w:val="center"/>
            <w:hideMark/>
          </w:tcPr>
          <w:p w14:paraId="0548C894"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4" w:type="dxa"/>
            <w:vMerge w:val="restart"/>
            <w:tcBorders>
              <w:top w:val="nil"/>
              <w:left w:val="single" w:sz="4" w:space="0" w:color="auto"/>
              <w:bottom w:val="single" w:sz="4" w:space="0" w:color="auto"/>
              <w:right w:val="single" w:sz="4" w:space="0" w:color="auto"/>
            </w:tcBorders>
            <w:shd w:val="clear" w:color="auto" w:fill="auto"/>
            <w:vAlign w:val="center"/>
            <w:hideMark/>
          </w:tcPr>
          <w:p w14:paraId="54439AEC"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SBFD DL</w:t>
            </w:r>
          </w:p>
        </w:tc>
        <w:tc>
          <w:tcPr>
            <w:tcW w:w="1149" w:type="dxa"/>
            <w:tcBorders>
              <w:top w:val="nil"/>
              <w:left w:val="nil"/>
              <w:bottom w:val="single" w:sz="4" w:space="0" w:color="auto"/>
              <w:right w:val="single" w:sz="4" w:space="0" w:color="auto"/>
            </w:tcBorders>
            <w:shd w:val="clear" w:color="auto" w:fill="auto"/>
            <w:vAlign w:val="center"/>
            <w:hideMark/>
          </w:tcPr>
          <w:p w14:paraId="409B42AD"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Option 2 (same gain)</w:t>
            </w:r>
          </w:p>
        </w:tc>
        <w:tc>
          <w:tcPr>
            <w:tcW w:w="904" w:type="dxa"/>
            <w:vMerge w:val="restart"/>
            <w:tcBorders>
              <w:top w:val="nil"/>
              <w:left w:val="single" w:sz="4" w:space="0" w:color="auto"/>
              <w:bottom w:val="single" w:sz="4" w:space="0" w:color="auto"/>
              <w:right w:val="single" w:sz="4" w:space="0" w:color="auto"/>
            </w:tcBorders>
            <w:shd w:val="clear" w:color="auto" w:fill="auto"/>
            <w:vAlign w:val="center"/>
            <w:hideMark/>
          </w:tcPr>
          <w:p w14:paraId="1F59B2C1"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Option 2:</w:t>
            </w:r>
            <w:r w:rsidRPr="00880B9B">
              <w:rPr>
                <w:rFonts w:ascii="Times New Roman" w:eastAsia="Times New Roman" w:hAnsi="Times New Roman" w:cs="Times New Roman"/>
                <w:sz w:val="16"/>
                <w:szCs w:val="16"/>
                <w:lang w:val="en-US"/>
              </w:rPr>
              <w:br/>
              <w:t>SBFD: 30 dBm</w:t>
            </w:r>
          </w:p>
        </w:tc>
        <w:tc>
          <w:tcPr>
            <w:tcW w:w="900" w:type="dxa"/>
            <w:vMerge/>
            <w:tcBorders>
              <w:top w:val="nil"/>
              <w:left w:val="single" w:sz="4" w:space="0" w:color="auto"/>
              <w:bottom w:val="single" w:sz="4" w:space="0" w:color="auto"/>
              <w:right w:val="single" w:sz="4" w:space="0" w:color="auto"/>
            </w:tcBorders>
            <w:vAlign w:val="center"/>
            <w:hideMark/>
          </w:tcPr>
          <w:p w14:paraId="4F2B49AA"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5" w:type="dxa"/>
            <w:vMerge/>
            <w:tcBorders>
              <w:top w:val="nil"/>
              <w:left w:val="single" w:sz="4" w:space="0" w:color="auto"/>
              <w:bottom w:val="single" w:sz="4" w:space="0" w:color="auto"/>
              <w:right w:val="single" w:sz="4" w:space="0" w:color="auto"/>
            </w:tcBorders>
            <w:vAlign w:val="center"/>
            <w:hideMark/>
          </w:tcPr>
          <w:p w14:paraId="4AB5D766"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7" w:type="dxa"/>
            <w:tcBorders>
              <w:top w:val="nil"/>
              <w:left w:val="nil"/>
              <w:bottom w:val="single" w:sz="4" w:space="0" w:color="auto"/>
              <w:right w:val="single" w:sz="4" w:space="0" w:color="auto"/>
            </w:tcBorders>
            <w:shd w:val="clear" w:color="auto" w:fill="auto"/>
            <w:noWrap/>
            <w:vAlign w:val="center"/>
            <w:hideMark/>
          </w:tcPr>
          <w:p w14:paraId="3D153953"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0.04</w:t>
            </w:r>
          </w:p>
        </w:tc>
        <w:tc>
          <w:tcPr>
            <w:tcW w:w="899" w:type="dxa"/>
            <w:tcBorders>
              <w:top w:val="nil"/>
              <w:left w:val="nil"/>
              <w:bottom w:val="single" w:sz="4" w:space="0" w:color="auto"/>
              <w:right w:val="single" w:sz="4" w:space="0" w:color="auto"/>
            </w:tcBorders>
            <w:shd w:val="clear" w:color="auto" w:fill="auto"/>
            <w:noWrap/>
            <w:vAlign w:val="center"/>
            <w:hideMark/>
          </w:tcPr>
          <w:p w14:paraId="7244F3C0"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0.06</w:t>
            </w:r>
          </w:p>
        </w:tc>
        <w:tc>
          <w:tcPr>
            <w:tcW w:w="898" w:type="dxa"/>
            <w:tcBorders>
              <w:top w:val="nil"/>
              <w:left w:val="nil"/>
              <w:bottom w:val="single" w:sz="4" w:space="0" w:color="auto"/>
              <w:right w:val="single" w:sz="4" w:space="0" w:color="auto"/>
            </w:tcBorders>
            <w:shd w:val="clear" w:color="auto" w:fill="auto"/>
            <w:noWrap/>
            <w:vAlign w:val="center"/>
            <w:hideMark/>
          </w:tcPr>
          <w:p w14:paraId="5A47FB58"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0.26</w:t>
            </w:r>
          </w:p>
        </w:tc>
        <w:tc>
          <w:tcPr>
            <w:tcW w:w="899" w:type="dxa"/>
            <w:tcBorders>
              <w:top w:val="nil"/>
              <w:left w:val="nil"/>
              <w:bottom w:val="single" w:sz="4" w:space="0" w:color="auto"/>
              <w:right w:val="single" w:sz="4" w:space="0" w:color="auto"/>
            </w:tcBorders>
            <w:shd w:val="clear" w:color="auto" w:fill="auto"/>
            <w:noWrap/>
            <w:vAlign w:val="center"/>
            <w:hideMark/>
          </w:tcPr>
          <w:p w14:paraId="16823CB5"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0.07</w:t>
            </w:r>
          </w:p>
        </w:tc>
      </w:tr>
      <w:tr w:rsidR="00B65919" w:rsidRPr="00880B9B" w14:paraId="20F224C5" w14:textId="77777777" w:rsidTr="00880B9B">
        <w:trPr>
          <w:gridAfter w:val="1"/>
          <w:wAfter w:w="7" w:type="dxa"/>
          <w:trHeight w:val="752"/>
        </w:trPr>
        <w:tc>
          <w:tcPr>
            <w:tcW w:w="895" w:type="dxa"/>
            <w:tcBorders>
              <w:top w:val="nil"/>
              <w:left w:val="single" w:sz="4" w:space="0" w:color="auto"/>
              <w:bottom w:val="single" w:sz="4" w:space="0" w:color="auto"/>
              <w:right w:val="single" w:sz="4" w:space="0" w:color="auto"/>
            </w:tcBorders>
            <w:shd w:val="clear" w:color="auto" w:fill="auto"/>
            <w:vAlign w:val="center"/>
            <w:hideMark/>
          </w:tcPr>
          <w:p w14:paraId="35375A30"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10%</w:t>
            </w:r>
          </w:p>
        </w:tc>
        <w:tc>
          <w:tcPr>
            <w:tcW w:w="925" w:type="dxa"/>
            <w:vMerge/>
            <w:tcBorders>
              <w:top w:val="nil"/>
              <w:left w:val="single" w:sz="4" w:space="0" w:color="auto"/>
              <w:bottom w:val="single" w:sz="4" w:space="0" w:color="000000"/>
              <w:right w:val="single" w:sz="4" w:space="0" w:color="auto"/>
            </w:tcBorders>
            <w:vAlign w:val="center"/>
            <w:hideMark/>
          </w:tcPr>
          <w:p w14:paraId="278BB7E2"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4" w:type="dxa"/>
            <w:vMerge/>
            <w:tcBorders>
              <w:top w:val="nil"/>
              <w:left w:val="single" w:sz="4" w:space="0" w:color="auto"/>
              <w:bottom w:val="single" w:sz="4" w:space="0" w:color="auto"/>
              <w:right w:val="single" w:sz="4" w:space="0" w:color="auto"/>
            </w:tcBorders>
            <w:vAlign w:val="center"/>
            <w:hideMark/>
          </w:tcPr>
          <w:p w14:paraId="361A27C7"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49" w:type="dxa"/>
            <w:tcBorders>
              <w:top w:val="nil"/>
              <w:left w:val="nil"/>
              <w:bottom w:val="single" w:sz="4" w:space="0" w:color="auto"/>
              <w:right w:val="single" w:sz="4" w:space="0" w:color="auto"/>
            </w:tcBorders>
            <w:shd w:val="clear" w:color="auto" w:fill="auto"/>
            <w:vAlign w:val="center"/>
            <w:hideMark/>
          </w:tcPr>
          <w:p w14:paraId="2474CC7F"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Option 2 (same gain)</w:t>
            </w:r>
          </w:p>
        </w:tc>
        <w:tc>
          <w:tcPr>
            <w:tcW w:w="904" w:type="dxa"/>
            <w:vMerge/>
            <w:tcBorders>
              <w:top w:val="nil"/>
              <w:left w:val="single" w:sz="4" w:space="0" w:color="auto"/>
              <w:bottom w:val="single" w:sz="4" w:space="0" w:color="auto"/>
              <w:right w:val="single" w:sz="4" w:space="0" w:color="auto"/>
            </w:tcBorders>
            <w:vAlign w:val="center"/>
            <w:hideMark/>
          </w:tcPr>
          <w:p w14:paraId="2FD5D764"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0" w:type="dxa"/>
            <w:vMerge/>
            <w:tcBorders>
              <w:top w:val="nil"/>
              <w:left w:val="single" w:sz="4" w:space="0" w:color="auto"/>
              <w:bottom w:val="single" w:sz="4" w:space="0" w:color="auto"/>
              <w:right w:val="single" w:sz="4" w:space="0" w:color="auto"/>
            </w:tcBorders>
            <w:vAlign w:val="center"/>
            <w:hideMark/>
          </w:tcPr>
          <w:p w14:paraId="39B4D418"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5" w:type="dxa"/>
            <w:vMerge/>
            <w:tcBorders>
              <w:top w:val="nil"/>
              <w:left w:val="single" w:sz="4" w:space="0" w:color="auto"/>
              <w:bottom w:val="single" w:sz="4" w:space="0" w:color="auto"/>
              <w:right w:val="single" w:sz="4" w:space="0" w:color="auto"/>
            </w:tcBorders>
            <w:vAlign w:val="center"/>
            <w:hideMark/>
          </w:tcPr>
          <w:p w14:paraId="69398278"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7" w:type="dxa"/>
            <w:tcBorders>
              <w:top w:val="nil"/>
              <w:left w:val="nil"/>
              <w:bottom w:val="single" w:sz="4" w:space="0" w:color="auto"/>
              <w:right w:val="single" w:sz="4" w:space="0" w:color="auto"/>
            </w:tcBorders>
            <w:shd w:val="clear" w:color="auto" w:fill="auto"/>
            <w:noWrap/>
            <w:vAlign w:val="center"/>
            <w:hideMark/>
          </w:tcPr>
          <w:p w14:paraId="5E4F290F"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0.02</w:t>
            </w:r>
          </w:p>
        </w:tc>
        <w:tc>
          <w:tcPr>
            <w:tcW w:w="899" w:type="dxa"/>
            <w:tcBorders>
              <w:top w:val="nil"/>
              <w:left w:val="nil"/>
              <w:bottom w:val="single" w:sz="4" w:space="0" w:color="auto"/>
              <w:right w:val="single" w:sz="4" w:space="0" w:color="auto"/>
            </w:tcBorders>
            <w:shd w:val="clear" w:color="auto" w:fill="auto"/>
            <w:noWrap/>
            <w:vAlign w:val="center"/>
            <w:hideMark/>
          </w:tcPr>
          <w:p w14:paraId="1DE6FAC5"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0.03</w:t>
            </w:r>
          </w:p>
        </w:tc>
        <w:tc>
          <w:tcPr>
            <w:tcW w:w="898" w:type="dxa"/>
            <w:tcBorders>
              <w:top w:val="nil"/>
              <w:left w:val="nil"/>
              <w:bottom w:val="single" w:sz="4" w:space="0" w:color="auto"/>
              <w:right w:val="single" w:sz="4" w:space="0" w:color="auto"/>
            </w:tcBorders>
            <w:shd w:val="clear" w:color="auto" w:fill="auto"/>
            <w:noWrap/>
            <w:vAlign w:val="center"/>
            <w:hideMark/>
          </w:tcPr>
          <w:p w14:paraId="412F14A2"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0.14</w:t>
            </w:r>
          </w:p>
        </w:tc>
        <w:tc>
          <w:tcPr>
            <w:tcW w:w="899" w:type="dxa"/>
            <w:tcBorders>
              <w:top w:val="nil"/>
              <w:left w:val="nil"/>
              <w:bottom w:val="single" w:sz="4" w:space="0" w:color="auto"/>
              <w:right w:val="single" w:sz="4" w:space="0" w:color="auto"/>
            </w:tcBorders>
            <w:shd w:val="clear" w:color="auto" w:fill="auto"/>
            <w:noWrap/>
            <w:vAlign w:val="center"/>
            <w:hideMark/>
          </w:tcPr>
          <w:p w14:paraId="4637661D"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0.09</w:t>
            </w:r>
          </w:p>
        </w:tc>
      </w:tr>
      <w:tr w:rsidR="00B65919" w:rsidRPr="00880B9B" w14:paraId="3C3DB0B3" w14:textId="77777777" w:rsidTr="00880B9B">
        <w:trPr>
          <w:gridAfter w:val="1"/>
          <w:wAfter w:w="7" w:type="dxa"/>
          <w:trHeight w:val="752"/>
        </w:trPr>
        <w:tc>
          <w:tcPr>
            <w:tcW w:w="895" w:type="dxa"/>
            <w:tcBorders>
              <w:top w:val="nil"/>
              <w:left w:val="single" w:sz="4" w:space="0" w:color="auto"/>
              <w:bottom w:val="single" w:sz="4" w:space="0" w:color="auto"/>
              <w:right w:val="single" w:sz="4" w:space="0" w:color="auto"/>
            </w:tcBorders>
            <w:shd w:val="clear" w:color="auto" w:fill="auto"/>
            <w:vAlign w:val="center"/>
            <w:hideMark/>
          </w:tcPr>
          <w:p w14:paraId="04796EEA"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100%</w:t>
            </w:r>
          </w:p>
        </w:tc>
        <w:tc>
          <w:tcPr>
            <w:tcW w:w="925" w:type="dxa"/>
            <w:vMerge/>
            <w:tcBorders>
              <w:top w:val="nil"/>
              <w:left w:val="single" w:sz="4" w:space="0" w:color="auto"/>
              <w:bottom w:val="single" w:sz="4" w:space="0" w:color="000000"/>
              <w:right w:val="single" w:sz="4" w:space="0" w:color="auto"/>
            </w:tcBorders>
            <w:vAlign w:val="center"/>
            <w:hideMark/>
          </w:tcPr>
          <w:p w14:paraId="41A0B636"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4" w:type="dxa"/>
            <w:vMerge w:val="restart"/>
            <w:tcBorders>
              <w:top w:val="nil"/>
              <w:left w:val="single" w:sz="4" w:space="0" w:color="auto"/>
              <w:bottom w:val="single" w:sz="4" w:space="0" w:color="auto"/>
              <w:right w:val="single" w:sz="4" w:space="0" w:color="auto"/>
            </w:tcBorders>
            <w:shd w:val="clear" w:color="auto" w:fill="auto"/>
            <w:vAlign w:val="center"/>
            <w:hideMark/>
          </w:tcPr>
          <w:p w14:paraId="4D7B2017"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SBFD UL</w:t>
            </w:r>
          </w:p>
        </w:tc>
        <w:tc>
          <w:tcPr>
            <w:tcW w:w="1149" w:type="dxa"/>
            <w:tcBorders>
              <w:top w:val="nil"/>
              <w:left w:val="nil"/>
              <w:bottom w:val="single" w:sz="4" w:space="0" w:color="auto"/>
              <w:right w:val="single" w:sz="4" w:space="0" w:color="auto"/>
            </w:tcBorders>
            <w:shd w:val="clear" w:color="auto" w:fill="auto"/>
            <w:vAlign w:val="center"/>
            <w:hideMark/>
          </w:tcPr>
          <w:p w14:paraId="078AF078"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Option 2 (same gain)</w:t>
            </w:r>
          </w:p>
        </w:tc>
        <w:tc>
          <w:tcPr>
            <w:tcW w:w="904" w:type="dxa"/>
            <w:vMerge/>
            <w:tcBorders>
              <w:top w:val="nil"/>
              <w:left w:val="single" w:sz="4" w:space="0" w:color="auto"/>
              <w:bottom w:val="single" w:sz="4" w:space="0" w:color="auto"/>
              <w:right w:val="single" w:sz="4" w:space="0" w:color="auto"/>
            </w:tcBorders>
            <w:vAlign w:val="center"/>
            <w:hideMark/>
          </w:tcPr>
          <w:p w14:paraId="7837E476"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0" w:type="dxa"/>
            <w:vMerge/>
            <w:tcBorders>
              <w:top w:val="nil"/>
              <w:left w:val="single" w:sz="4" w:space="0" w:color="auto"/>
              <w:bottom w:val="single" w:sz="4" w:space="0" w:color="auto"/>
              <w:right w:val="single" w:sz="4" w:space="0" w:color="auto"/>
            </w:tcBorders>
            <w:vAlign w:val="center"/>
            <w:hideMark/>
          </w:tcPr>
          <w:p w14:paraId="13447DE7"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5" w:type="dxa"/>
            <w:vMerge/>
            <w:tcBorders>
              <w:top w:val="nil"/>
              <w:left w:val="single" w:sz="4" w:space="0" w:color="auto"/>
              <w:bottom w:val="single" w:sz="4" w:space="0" w:color="auto"/>
              <w:right w:val="single" w:sz="4" w:space="0" w:color="auto"/>
            </w:tcBorders>
            <w:vAlign w:val="center"/>
            <w:hideMark/>
          </w:tcPr>
          <w:p w14:paraId="459EC449"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7" w:type="dxa"/>
            <w:tcBorders>
              <w:top w:val="nil"/>
              <w:left w:val="nil"/>
              <w:bottom w:val="single" w:sz="4" w:space="0" w:color="auto"/>
              <w:right w:val="single" w:sz="4" w:space="0" w:color="auto"/>
            </w:tcBorders>
            <w:shd w:val="clear" w:color="auto" w:fill="auto"/>
            <w:noWrap/>
            <w:vAlign w:val="center"/>
            <w:hideMark/>
          </w:tcPr>
          <w:p w14:paraId="76DCF54A"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0.21</w:t>
            </w:r>
          </w:p>
        </w:tc>
        <w:tc>
          <w:tcPr>
            <w:tcW w:w="899" w:type="dxa"/>
            <w:tcBorders>
              <w:top w:val="nil"/>
              <w:left w:val="nil"/>
              <w:bottom w:val="single" w:sz="4" w:space="0" w:color="auto"/>
              <w:right w:val="single" w:sz="4" w:space="0" w:color="auto"/>
            </w:tcBorders>
            <w:shd w:val="clear" w:color="auto" w:fill="auto"/>
            <w:noWrap/>
            <w:vAlign w:val="center"/>
            <w:hideMark/>
          </w:tcPr>
          <w:p w14:paraId="15BB10BF"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0.04</w:t>
            </w:r>
          </w:p>
        </w:tc>
        <w:tc>
          <w:tcPr>
            <w:tcW w:w="898" w:type="dxa"/>
            <w:tcBorders>
              <w:top w:val="nil"/>
              <w:left w:val="nil"/>
              <w:bottom w:val="single" w:sz="4" w:space="0" w:color="auto"/>
              <w:right w:val="single" w:sz="4" w:space="0" w:color="auto"/>
            </w:tcBorders>
            <w:shd w:val="clear" w:color="auto" w:fill="auto"/>
            <w:noWrap/>
            <w:vAlign w:val="center"/>
            <w:hideMark/>
          </w:tcPr>
          <w:p w14:paraId="447E226A"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3.26</w:t>
            </w:r>
          </w:p>
        </w:tc>
        <w:tc>
          <w:tcPr>
            <w:tcW w:w="899" w:type="dxa"/>
            <w:tcBorders>
              <w:top w:val="nil"/>
              <w:left w:val="nil"/>
              <w:bottom w:val="single" w:sz="4" w:space="0" w:color="auto"/>
              <w:right w:val="single" w:sz="4" w:space="0" w:color="auto"/>
            </w:tcBorders>
            <w:shd w:val="clear" w:color="auto" w:fill="auto"/>
            <w:noWrap/>
            <w:vAlign w:val="center"/>
            <w:hideMark/>
          </w:tcPr>
          <w:p w14:paraId="35FB0ABC"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0.45</w:t>
            </w:r>
          </w:p>
        </w:tc>
      </w:tr>
      <w:tr w:rsidR="00B65919" w:rsidRPr="00880B9B" w14:paraId="1B32ADE4" w14:textId="77777777" w:rsidTr="00880B9B">
        <w:trPr>
          <w:gridAfter w:val="1"/>
          <w:wAfter w:w="7" w:type="dxa"/>
          <w:trHeight w:val="752"/>
        </w:trPr>
        <w:tc>
          <w:tcPr>
            <w:tcW w:w="895" w:type="dxa"/>
            <w:tcBorders>
              <w:top w:val="nil"/>
              <w:left w:val="single" w:sz="4" w:space="0" w:color="auto"/>
              <w:bottom w:val="single" w:sz="4" w:space="0" w:color="auto"/>
              <w:right w:val="single" w:sz="4" w:space="0" w:color="auto"/>
            </w:tcBorders>
            <w:shd w:val="clear" w:color="auto" w:fill="auto"/>
            <w:vAlign w:val="center"/>
            <w:hideMark/>
          </w:tcPr>
          <w:p w14:paraId="25B0A410"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10%</w:t>
            </w:r>
          </w:p>
        </w:tc>
        <w:tc>
          <w:tcPr>
            <w:tcW w:w="925" w:type="dxa"/>
            <w:vMerge/>
            <w:tcBorders>
              <w:top w:val="nil"/>
              <w:left w:val="single" w:sz="4" w:space="0" w:color="auto"/>
              <w:bottom w:val="single" w:sz="4" w:space="0" w:color="000000"/>
              <w:right w:val="single" w:sz="4" w:space="0" w:color="auto"/>
            </w:tcBorders>
            <w:vAlign w:val="center"/>
            <w:hideMark/>
          </w:tcPr>
          <w:p w14:paraId="0492B5E9"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4" w:type="dxa"/>
            <w:vMerge/>
            <w:tcBorders>
              <w:top w:val="nil"/>
              <w:left w:val="single" w:sz="4" w:space="0" w:color="auto"/>
              <w:bottom w:val="single" w:sz="4" w:space="0" w:color="auto"/>
              <w:right w:val="single" w:sz="4" w:space="0" w:color="auto"/>
            </w:tcBorders>
            <w:vAlign w:val="center"/>
            <w:hideMark/>
          </w:tcPr>
          <w:p w14:paraId="0B5952B0"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49" w:type="dxa"/>
            <w:tcBorders>
              <w:top w:val="nil"/>
              <w:left w:val="nil"/>
              <w:bottom w:val="single" w:sz="4" w:space="0" w:color="auto"/>
              <w:right w:val="single" w:sz="4" w:space="0" w:color="auto"/>
            </w:tcBorders>
            <w:shd w:val="clear" w:color="auto" w:fill="auto"/>
            <w:vAlign w:val="center"/>
            <w:hideMark/>
          </w:tcPr>
          <w:p w14:paraId="7CC5CF66" w14:textId="77777777" w:rsidR="00880B9B" w:rsidRPr="00880B9B" w:rsidRDefault="00880B9B" w:rsidP="00880B9B">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880B9B">
              <w:rPr>
                <w:rFonts w:ascii="Times New Roman" w:eastAsia="Times New Roman" w:hAnsi="Times New Roman" w:cs="Times New Roman"/>
                <w:sz w:val="16"/>
                <w:szCs w:val="16"/>
                <w:lang w:val="en-US"/>
              </w:rPr>
              <w:t>Option 2 (same gain)</w:t>
            </w:r>
          </w:p>
        </w:tc>
        <w:tc>
          <w:tcPr>
            <w:tcW w:w="904" w:type="dxa"/>
            <w:vMerge/>
            <w:tcBorders>
              <w:top w:val="nil"/>
              <w:left w:val="single" w:sz="4" w:space="0" w:color="auto"/>
              <w:bottom w:val="single" w:sz="4" w:space="0" w:color="auto"/>
              <w:right w:val="single" w:sz="4" w:space="0" w:color="auto"/>
            </w:tcBorders>
            <w:vAlign w:val="center"/>
            <w:hideMark/>
          </w:tcPr>
          <w:p w14:paraId="4BB2755D"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0" w:type="dxa"/>
            <w:vMerge/>
            <w:tcBorders>
              <w:top w:val="nil"/>
              <w:left w:val="single" w:sz="4" w:space="0" w:color="auto"/>
              <w:bottom w:val="single" w:sz="4" w:space="0" w:color="auto"/>
              <w:right w:val="single" w:sz="4" w:space="0" w:color="auto"/>
            </w:tcBorders>
            <w:vAlign w:val="center"/>
            <w:hideMark/>
          </w:tcPr>
          <w:p w14:paraId="184D4DA0"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5" w:type="dxa"/>
            <w:vMerge/>
            <w:tcBorders>
              <w:top w:val="nil"/>
              <w:left w:val="single" w:sz="4" w:space="0" w:color="auto"/>
              <w:bottom w:val="single" w:sz="4" w:space="0" w:color="auto"/>
              <w:right w:val="single" w:sz="4" w:space="0" w:color="auto"/>
            </w:tcBorders>
            <w:vAlign w:val="center"/>
            <w:hideMark/>
          </w:tcPr>
          <w:p w14:paraId="68A7A89F" w14:textId="77777777" w:rsidR="00880B9B" w:rsidRPr="00880B9B" w:rsidRDefault="00880B9B" w:rsidP="00880B9B">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7" w:type="dxa"/>
            <w:tcBorders>
              <w:top w:val="nil"/>
              <w:left w:val="nil"/>
              <w:bottom w:val="single" w:sz="4" w:space="0" w:color="auto"/>
              <w:right w:val="single" w:sz="4" w:space="0" w:color="auto"/>
            </w:tcBorders>
            <w:shd w:val="clear" w:color="auto" w:fill="auto"/>
            <w:noWrap/>
            <w:vAlign w:val="center"/>
            <w:hideMark/>
          </w:tcPr>
          <w:p w14:paraId="02FCD021"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0.68</w:t>
            </w:r>
          </w:p>
        </w:tc>
        <w:tc>
          <w:tcPr>
            <w:tcW w:w="899" w:type="dxa"/>
            <w:tcBorders>
              <w:top w:val="nil"/>
              <w:left w:val="nil"/>
              <w:bottom w:val="single" w:sz="4" w:space="0" w:color="auto"/>
              <w:right w:val="single" w:sz="4" w:space="0" w:color="auto"/>
            </w:tcBorders>
            <w:shd w:val="clear" w:color="auto" w:fill="auto"/>
            <w:noWrap/>
            <w:vAlign w:val="center"/>
            <w:hideMark/>
          </w:tcPr>
          <w:p w14:paraId="37C938D6"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0.02</w:t>
            </w:r>
          </w:p>
        </w:tc>
        <w:tc>
          <w:tcPr>
            <w:tcW w:w="89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D964216"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880B9B">
              <w:rPr>
                <w:rFonts w:ascii="Times New Roman" w:eastAsia="Times New Roman" w:hAnsi="Times New Roman" w:cs="Times New Roman"/>
                <w:color w:val="9C0006"/>
                <w:sz w:val="16"/>
                <w:szCs w:val="16"/>
                <w:lang w:val="en-US"/>
              </w:rPr>
              <w:t>10.1</w:t>
            </w:r>
          </w:p>
        </w:tc>
        <w:tc>
          <w:tcPr>
            <w:tcW w:w="899" w:type="dxa"/>
            <w:tcBorders>
              <w:top w:val="nil"/>
              <w:left w:val="nil"/>
              <w:bottom w:val="single" w:sz="4" w:space="0" w:color="auto"/>
              <w:right w:val="single" w:sz="4" w:space="0" w:color="auto"/>
            </w:tcBorders>
            <w:shd w:val="clear" w:color="auto" w:fill="auto"/>
            <w:noWrap/>
            <w:vAlign w:val="center"/>
            <w:hideMark/>
          </w:tcPr>
          <w:p w14:paraId="48721664" w14:textId="77777777" w:rsidR="00880B9B" w:rsidRPr="00880B9B" w:rsidRDefault="00880B9B" w:rsidP="00880B9B">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880B9B">
              <w:rPr>
                <w:rFonts w:ascii="Times New Roman" w:eastAsia="Times New Roman" w:hAnsi="Times New Roman" w:cs="Times New Roman"/>
                <w:color w:val="000000"/>
                <w:sz w:val="16"/>
                <w:szCs w:val="16"/>
                <w:lang w:val="en-US"/>
              </w:rPr>
              <w:t>1.41</w:t>
            </w:r>
          </w:p>
        </w:tc>
      </w:tr>
      <w:bookmarkEnd w:id="45"/>
    </w:tbl>
    <w:p w14:paraId="30522079" w14:textId="77777777" w:rsidR="006806CE" w:rsidRDefault="006806CE" w:rsidP="006806CE"/>
    <w:p w14:paraId="5B75E697" w14:textId="77777777" w:rsidR="006806CE" w:rsidRDefault="006806CE" w:rsidP="006806CE">
      <w:pPr>
        <w:rPr>
          <w:lang w:val="en-US"/>
        </w:rPr>
      </w:pPr>
      <w:r>
        <w:rPr>
          <w:lang w:val="en-US"/>
        </w:rPr>
        <w:t>Based on the results above, the following recommendations are proposed for this scenario and case:</w:t>
      </w:r>
    </w:p>
    <w:p w14:paraId="551C14E8" w14:textId="75C38216" w:rsidR="006806CE" w:rsidRPr="006B4412" w:rsidRDefault="006806CE" w:rsidP="006806CE">
      <w:pPr>
        <w:rPr>
          <w:b/>
          <w:bCs/>
        </w:rPr>
      </w:pPr>
      <w:r w:rsidRPr="009D3E26">
        <w:rPr>
          <w:b/>
          <w:bCs/>
          <w:lang w:val="en-US"/>
        </w:rPr>
        <w:t xml:space="preserve">Proposal </w:t>
      </w:r>
      <w:r w:rsidR="00B34360">
        <w:rPr>
          <w:b/>
          <w:bCs/>
          <w:lang w:val="en-US"/>
        </w:rPr>
        <w:t>2</w:t>
      </w:r>
      <w:r w:rsidR="00516180">
        <w:rPr>
          <w:b/>
          <w:bCs/>
          <w:lang w:val="en-US"/>
        </w:rPr>
        <w:t>2</w:t>
      </w:r>
      <w:r w:rsidRPr="009D3E26">
        <w:rPr>
          <w:b/>
          <w:bCs/>
          <w:lang w:val="en-US"/>
        </w:rPr>
        <w:t xml:space="preserve">: </w:t>
      </w:r>
      <w:r w:rsidRPr="006B4412">
        <w:rPr>
          <w:b/>
          <w:bCs/>
        </w:rPr>
        <w:t xml:space="preserve">The </w:t>
      </w:r>
      <w:r>
        <w:rPr>
          <w:b/>
          <w:bCs/>
        </w:rPr>
        <w:t xml:space="preserve">SBFD DL </w:t>
      </w:r>
      <w:r w:rsidRPr="006B4412">
        <w:rPr>
          <w:b/>
          <w:bCs/>
        </w:rPr>
        <w:t xml:space="preserve">performance degradation for </w:t>
      </w:r>
      <w:r>
        <w:rPr>
          <w:b/>
          <w:bCs/>
        </w:rPr>
        <w:t>Urban Macro Case 4</w:t>
      </w:r>
      <w:r w:rsidRPr="006B4412">
        <w:rPr>
          <w:b/>
          <w:bCs/>
        </w:rPr>
        <w:t xml:space="preserve"> is acceptable when </w:t>
      </w:r>
      <w:r>
        <w:rPr>
          <w:b/>
          <w:bCs/>
        </w:rPr>
        <w:t>TDD UL is adopted in the aggressor network.</w:t>
      </w:r>
    </w:p>
    <w:p w14:paraId="14714F3A" w14:textId="6862807F" w:rsidR="006806CE" w:rsidRPr="006806CE" w:rsidRDefault="006806CE" w:rsidP="00B334F7">
      <w:r w:rsidRPr="009D3E26">
        <w:rPr>
          <w:b/>
          <w:bCs/>
          <w:lang w:val="en-US"/>
        </w:rPr>
        <w:t xml:space="preserve">Proposal </w:t>
      </w:r>
      <w:r w:rsidR="00B34360">
        <w:rPr>
          <w:b/>
          <w:bCs/>
          <w:lang w:val="en-US"/>
        </w:rPr>
        <w:t>2</w:t>
      </w:r>
      <w:r w:rsidR="00516180">
        <w:rPr>
          <w:b/>
          <w:bCs/>
          <w:lang w:val="en-US"/>
        </w:rPr>
        <w:t>3</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w:t>
      </w:r>
      <w:r>
        <w:rPr>
          <w:b/>
          <w:bCs/>
        </w:rPr>
        <w:t>Urban Macro Case 4</w:t>
      </w:r>
      <w:r w:rsidRPr="006B4412">
        <w:rPr>
          <w:b/>
          <w:bCs/>
        </w:rPr>
        <w:t xml:space="preserve"> is acceptable when </w:t>
      </w:r>
      <w:r>
        <w:rPr>
          <w:b/>
          <w:bCs/>
        </w:rPr>
        <w:t>TDD UL is adopted in the aggressor network.</w:t>
      </w:r>
    </w:p>
    <w:p w14:paraId="58044695" w14:textId="77777777" w:rsidR="0097669D" w:rsidRDefault="0097669D" w:rsidP="00B334F7">
      <w:pPr>
        <w:pStyle w:val="Caption"/>
        <w:rPr>
          <w:lang w:eastAsia="zh-CN"/>
        </w:rPr>
      </w:pPr>
    </w:p>
    <w:p w14:paraId="26D3DC02" w14:textId="42A36040" w:rsidR="00E913B6" w:rsidRDefault="00E913B6" w:rsidP="00E913B6">
      <w:pPr>
        <w:pStyle w:val="Heading4"/>
        <w:ind w:left="0" w:firstLine="0"/>
        <w:rPr>
          <w:lang w:val="en-US"/>
        </w:rPr>
      </w:pPr>
      <w:r w:rsidRPr="00A861FC">
        <w:rPr>
          <w:lang w:val="en-US"/>
        </w:rPr>
        <w:t>3.2.2 Scenario 2: FR1 Urban Hotspot</w:t>
      </w:r>
    </w:p>
    <w:p w14:paraId="08EA74CA" w14:textId="5559B474" w:rsidR="00D70419" w:rsidRDefault="00446483" w:rsidP="00D70419">
      <w:pPr>
        <w:rPr>
          <w:lang w:val="en-US"/>
        </w:rPr>
      </w:pPr>
      <w:r>
        <w:rPr>
          <w:lang w:val="en-US"/>
        </w:rPr>
        <w:fldChar w:fldCharType="begin"/>
      </w:r>
      <w:r>
        <w:rPr>
          <w:lang w:val="en-US"/>
        </w:rPr>
        <w:instrText xml:space="preserve"> REF _Ref146718951 \h </w:instrText>
      </w:r>
      <w:r>
        <w:rPr>
          <w:lang w:val="en-US"/>
        </w:rPr>
      </w:r>
      <w:r>
        <w:rPr>
          <w:lang w:val="en-US"/>
        </w:rPr>
        <w:fldChar w:fldCharType="separate"/>
      </w:r>
      <w:r w:rsidR="004D336C">
        <w:t xml:space="preserve">Figure </w:t>
      </w:r>
      <w:r w:rsidR="004D336C">
        <w:rPr>
          <w:noProof/>
        </w:rPr>
        <w:t>17</w:t>
      </w:r>
      <w:r>
        <w:rPr>
          <w:lang w:val="en-US"/>
        </w:rPr>
        <w:fldChar w:fldCharType="end"/>
      </w:r>
      <w:r w:rsidR="00E70941">
        <w:rPr>
          <w:lang w:val="en-US"/>
        </w:rPr>
        <w:t xml:space="preserve"> </w:t>
      </w:r>
      <w:r w:rsidR="00D70419">
        <w:rPr>
          <w:lang w:val="en-US"/>
        </w:rPr>
        <w:fldChar w:fldCharType="begin"/>
      </w:r>
      <w:r w:rsidR="00D70419">
        <w:rPr>
          <w:lang w:val="en-US"/>
        </w:rPr>
        <w:instrText xml:space="preserve"> REF _Ref142658349 \h  \* MERGEFORMAT </w:instrText>
      </w:r>
      <w:r w:rsidR="00D70419">
        <w:rPr>
          <w:lang w:val="en-US"/>
        </w:rPr>
      </w:r>
      <w:r w:rsidR="00D70419">
        <w:rPr>
          <w:lang w:val="en-US"/>
        </w:rPr>
        <w:fldChar w:fldCharType="separate"/>
      </w:r>
      <w:r w:rsidR="00D70419">
        <w:rPr>
          <w:lang w:val="en-US"/>
        </w:rPr>
        <w:fldChar w:fldCharType="end"/>
      </w:r>
      <w:r w:rsidR="00D70419">
        <w:rPr>
          <w:lang w:val="en-US"/>
        </w:rPr>
        <w:t xml:space="preserve">shows the UL performance of SBFD when there is no aggressor network and when SBFD coexists with TDD </w:t>
      </w:r>
      <w:r w:rsidR="0085765C">
        <w:rPr>
          <w:lang w:val="en-US"/>
        </w:rPr>
        <w:t>U</w:t>
      </w:r>
      <w:r w:rsidR="00D70419">
        <w:rPr>
          <w:lang w:val="en-US"/>
        </w:rPr>
        <w:t xml:space="preserve">L. Results show that the degradation due to the presence of TDD UL is quite low for any of the considered cases. The trends are very similar for the 2 antenna BS configurations at the victim network. </w:t>
      </w:r>
    </w:p>
    <w:p w14:paraId="54A96DED" w14:textId="77777777" w:rsidR="00D70419" w:rsidRPr="00D70419" w:rsidRDefault="00D70419" w:rsidP="00B334F7">
      <w:pPr>
        <w:rPr>
          <w:lang w:val="en-US"/>
        </w:rPr>
      </w:pPr>
    </w:p>
    <w:p w14:paraId="0BCF3BDF" w14:textId="77777777" w:rsidR="00446483" w:rsidRDefault="008C393C" w:rsidP="00446483">
      <w:pPr>
        <w:keepNext/>
        <w:jc w:val="center"/>
      </w:pPr>
      <w:r w:rsidRPr="008C393C">
        <w:rPr>
          <w:noProof/>
        </w:rPr>
        <w:lastRenderedPageBreak/>
        <w:drawing>
          <wp:inline distT="0" distB="0" distL="0" distR="0" wp14:anchorId="5E530CE8" wp14:editId="147E7EA5">
            <wp:extent cx="5295568" cy="338725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rotWithShape="1">
                    <a:blip r:embed="rId29">
                      <a:extLst>
                        <a:ext uri="{28A0092B-C50C-407E-A947-70E740481C1C}">
                          <a14:useLocalDpi xmlns:a14="http://schemas.microsoft.com/office/drawing/2010/main" val="0"/>
                        </a:ext>
                      </a:extLst>
                    </a:blip>
                    <a:srcRect l="6761" t="2183" r="6637" b="4775"/>
                    <a:stretch/>
                  </pic:blipFill>
                  <pic:spPr bwMode="auto">
                    <a:xfrm>
                      <a:off x="0" y="0"/>
                      <a:ext cx="5296307" cy="3387728"/>
                    </a:xfrm>
                    <a:prstGeom prst="rect">
                      <a:avLst/>
                    </a:prstGeom>
                    <a:noFill/>
                    <a:ln>
                      <a:noFill/>
                    </a:ln>
                    <a:extLst>
                      <a:ext uri="{53640926-AAD7-44D8-BBD7-CCE9431645EC}">
                        <a14:shadowObscured xmlns:a14="http://schemas.microsoft.com/office/drawing/2010/main"/>
                      </a:ext>
                    </a:extLst>
                  </pic:spPr>
                </pic:pic>
              </a:graphicData>
            </a:graphic>
          </wp:inline>
        </w:drawing>
      </w:r>
    </w:p>
    <w:p w14:paraId="0E4A86AC" w14:textId="561C40A5" w:rsidR="00691F75" w:rsidRDefault="00446483" w:rsidP="00B9333B">
      <w:pPr>
        <w:pStyle w:val="Caption"/>
        <w:jc w:val="center"/>
        <w:rPr>
          <w:lang w:val="en-US"/>
        </w:rPr>
      </w:pPr>
      <w:bookmarkStart w:id="46" w:name="_Ref146718951"/>
      <w:r>
        <w:t xml:space="preserve">Figure </w:t>
      </w:r>
      <w:r>
        <w:fldChar w:fldCharType="begin"/>
      </w:r>
      <w:r>
        <w:instrText xml:space="preserve"> SEQ Figure \* ARABIC </w:instrText>
      </w:r>
      <w:r>
        <w:fldChar w:fldCharType="separate"/>
      </w:r>
      <w:r w:rsidR="004D336C">
        <w:rPr>
          <w:noProof/>
        </w:rPr>
        <w:t>17</w:t>
      </w:r>
      <w:r>
        <w:fldChar w:fldCharType="end"/>
      </w:r>
      <w:bookmarkEnd w:id="46"/>
      <w:r>
        <w:t>. Comparison of DL SINR and DL throughput for Case 4 Urban Hotspot scenario</w:t>
      </w:r>
      <w:r w:rsidR="00BF1EC4">
        <w:br/>
      </w:r>
    </w:p>
    <w:p w14:paraId="68B57A54" w14:textId="07CFD0AC" w:rsidR="00D213C6" w:rsidRDefault="0048657E" w:rsidP="00D213C6">
      <w:pPr>
        <w:rPr>
          <w:lang w:val="en-US"/>
        </w:rPr>
      </w:pPr>
      <w:r>
        <w:rPr>
          <w:lang w:val="en-US"/>
        </w:rPr>
        <w:fldChar w:fldCharType="begin"/>
      </w:r>
      <w:r>
        <w:rPr>
          <w:lang w:val="en-US"/>
        </w:rPr>
        <w:instrText xml:space="preserve"> REF _Ref146722820 \h </w:instrText>
      </w:r>
      <w:r>
        <w:rPr>
          <w:lang w:val="en-US"/>
        </w:rPr>
      </w:r>
      <w:r>
        <w:rPr>
          <w:lang w:val="en-US"/>
        </w:rPr>
        <w:fldChar w:fldCharType="separate"/>
      </w:r>
      <w:r w:rsidR="004D336C">
        <w:t xml:space="preserve">Table </w:t>
      </w:r>
      <w:r w:rsidR="004D336C">
        <w:rPr>
          <w:noProof/>
        </w:rPr>
        <w:t>17</w:t>
      </w:r>
      <w:r>
        <w:rPr>
          <w:lang w:val="en-US"/>
        </w:rPr>
        <w:fldChar w:fldCharType="end"/>
      </w:r>
      <w:r>
        <w:rPr>
          <w:lang w:val="en-US"/>
        </w:rPr>
        <w:t xml:space="preserve"> </w:t>
      </w:r>
      <w:r w:rsidR="00D213C6">
        <w:rPr>
          <w:lang w:val="en-US"/>
        </w:rPr>
        <w:t xml:space="preserve">includes the coexistence performance of SBFD in both DL and UL when TDD </w:t>
      </w:r>
      <w:r w:rsidR="00F139F9">
        <w:rPr>
          <w:lang w:val="en-US"/>
        </w:rPr>
        <w:t>U</w:t>
      </w:r>
      <w:r w:rsidR="00D213C6">
        <w:rPr>
          <w:lang w:val="en-US"/>
        </w:rPr>
        <w:t>L acts as the aggressor network. The table includes different grid offsets and highlights the throughput degradation values above 5%.</w:t>
      </w:r>
    </w:p>
    <w:p w14:paraId="6FA5C188" w14:textId="3671A38B" w:rsidR="00C57170" w:rsidRDefault="00C57170" w:rsidP="00B334F7">
      <w:pPr>
        <w:pStyle w:val="Caption"/>
        <w:keepNext/>
      </w:pPr>
      <w:bookmarkStart w:id="47" w:name="_Ref146722820"/>
      <w:r>
        <w:t xml:space="preserve">Table </w:t>
      </w:r>
      <w:r>
        <w:fldChar w:fldCharType="begin"/>
      </w:r>
      <w:r>
        <w:instrText xml:space="preserve"> SEQ Table \* ARABIC </w:instrText>
      </w:r>
      <w:r>
        <w:fldChar w:fldCharType="separate"/>
      </w:r>
      <w:r w:rsidR="004D336C">
        <w:rPr>
          <w:noProof/>
        </w:rPr>
        <w:t>17</w:t>
      </w:r>
      <w:r>
        <w:fldChar w:fldCharType="end"/>
      </w:r>
      <w:bookmarkEnd w:id="47"/>
      <w:r>
        <w:t>. Performance summary for Case 4 Urban Hotspot scenario</w:t>
      </w:r>
    </w:p>
    <w:tbl>
      <w:tblPr>
        <w:tblW w:w="10524" w:type="dxa"/>
        <w:tblLook w:val="04A0" w:firstRow="1" w:lastRow="0" w:firstColumn="1" w:lastColumn="0" w:noHBand="0" w:noVBand="1"/>
      </w:tblPr>
      <w:tblGrid>
        <w:gridCol w:w="923"/>
        <w:gridCol w:w="955"/>
        <w:gridCol w:w="931"/>
        <w:gridCol w:w="1186"/>
        <w:gridCol w:w="931"/>
        <w:gridCol w:w="942"/>
        <w:gridCol w:w="955"/>
        <w:gridCol w:w="927"/>
        <w:gridCol w:w="923"/>
        <w:gridCol w:w="928"/>
        <w:gridCol w:w="923"/>
      </w:tblGrid>
      <w:tr w:rsidR="00744E73" w:rsidRPr="00287054" w14:paraId="643D3B60" w14:textId="77777777" w:rsidTr="00B334F7">
        <w:trPr>
          <w:trHeight w:val="315"/>
        </w:trPr>
        <w:tc>
          <w:tcPr>
            <w:tcW w:w="10524"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F904E2"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2: FR1 Urban Hotspot</w:t>
            </w:r>
            <w:r w:rsidRPr="00B334F7">
              <w:rPr>
                <w:rFonts w:ascii="Times New Roman" w:eastAsia="Times New Roman" w:hAnsi="Times New Roman" w:cs="Times New Roman"/>
                <w:b/>
                <w:bCs/>
                <w:sz w:val="16"/>
                <w:szCs w:val="16"/>
                <w:lang w:val="en-US"/>
              </w:rPr>
              <w:br/>
              <w:t>Case 4: SBFD as victim with TDD UL as aggressor</w:t>
            </w:r>
          </w:p>
        </w:tc>
      </w:tr>
      <w:tr w:rsidR="007E51FB" w:rsidRPr="00287054" w14:paraId="53D495A6" w14:textId="77777777" w:rsidTr="00744E73">
        <w:trPr>
          <w:trHeight w:val="300"/>
        </w:trPr>
        <w:tc>
          <w:tcPr>
            <w:tcW w:w="923" w:type="dxa"/>
            <w:vMerge w:val="restart"/>
            <w:tcBorders>
              <w:top w:val="nil"/>
              <w:left w:val="single" w:sz="4" w:space="0" w:color="auto"/>
              <w:bottom w:val="single" w:sz="4" w:space="0" w:color="auto"/>
              <w:right w:val="single" w:sz="4" w:space="0" w:color="auto"/>
            </w:tcBorders>
            <w:shd w:val="clear" w:color="auto" w:fill="auto"/>
            <w:vAlign w:val="center"/>
            <w:hideMark/>
          </w:tcPr>
          <w:p w14:paraId="1C1BB396"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955" w:type="dxa"/>
            <w:vMerge w:val="restart"/>
            <w:tcBorders>
              <w:top w:val="nil"/>
              <w:left w:val="single" w:sz="4" w:space="0" w:color="auto"/>
              <w:bottom w:val="single" w:sz="4" w:space="0" w:color="auto"/>
              <w:right w:val="single" w:sz="4" w:space="0" w:color="auto"/>
            </w:tcBorders>
            <w:shd w:val="clear" w:color="auto" w:fill="auto"/>
            <w:vAlign w:val="center"/>
            <w:hideMark/>
          </w:tcPr>
          <w:p w14:paraId="6DC52F92"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14:paraId="40BEE914"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86" w:type="dxa"/>
            <w:vMerge w:val="restart"/>
            <w:tcBorders>
              <w:top w:val="nil"/>
              <w:left w:val="single" w:sz="4" w:space="0" w:color="auto"/>
              <w:bottom w:val="single" w:sz="4" w:space="0" w:color="auto"/>
              <w:right w:val="single" w:sz="4" w:space="0" w:color="auto"/>
            </w:tcBorders>
            <w:shd w:val="clear" w:color="auto" w:fill="auto"/>
            <w:vAlign w:val="center"/>
            <w:hideMark/>
          </w:tcPr>
          <w:p w14:paraId="7700739D"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14:paraId="67603596"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942" w:type="dxa"/>
            <w:vMerge w:val="restart"/>
            <w:tcBorders>
              <w:top w:val="nil"/>
              <w:left w:val="single" w:sz="4" w:space="0" w:color="auto"/>
              <w:bottom w:val="single" w:sz="4" w:space="0" w:color="auto"/>
              <w:right w:val="single" w:sz="4" w:space="0" w:color="auto"/>
            </w:tcBorders>
            <w:shd w:val="clear" w:color="auto" w:fill="auto"/>
            <w:vAlign w:val="center"/>
            <w:hideMark/>
          </w:tcPr>
          <w:p w14:paraId="70F49687"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55" w:type="dxa"/>
            <w:vMerge w:val="restart"/>
            <w:tcBorders>
              <w:top w:val="nil"/>
              <w:left w:val="single" w:sz="4" w:space="0" w:color="auto"/>
              <w:bottom w:val="single" w:sz="4" w:space="0" w:color="auto"/>
              <w:right w:val="single" w:sz="4" w:space="0" w:color="auto"/>
            </w:tcBorders>
            <w:shd w:val="clear" w:color="auto" w:fill="auto"/>
            <w:vAlign w:val="center"/>
            <w:hideMark/>
          </w:tcPr>
          <w:p w14:paraId="723FAD7B"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18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EF2C04"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785152"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744E73" w:rsidRPr="00287054" w14:paraId="1F955060" w14:textId="77777777" w:rsidTr="00B334F7">
        <w:trPr>
          <w:trHeight w:val="300"/>
        </w:trPr>
        <w:tc>
          <w:tcPr>
            <w:tcW w:w="923" w:type="dxa"/>
            <w:vMerge/>
            <w:tcBorders>
              <w:top w:val="nil"/>
              <w:left w:val="single" w:sz="4" w:space="0" w:color="auto"/>
              <w:bottom w:val="single" w:sz="4" w:space="0" w:color="auto"/>
              <w:right w:val="single" w:sz="4" w:space="0" w:color="auto"/>
            </w:tcBorders>
            <w:vAlign w:val="center"/>
            <w:hideMark/>
          </w:tcPr>
          <w:p w14:paraId="1D7DD97F"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000DAEF6"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1" w:type="dxa"/>
            <w:vMerge/>
            <w:tcBorders>
              <w:top w:val="nil"/>
              <w:left w:val="single" w:sz="4" w:space="0" w:color="auto"/>
              <w:bottom w:val="single" w:sz="4" w:space="0" w:color="auto"/>
              <w:right w:val="single" w:sz="4" w:space="0" w:color="auto"/>
            </w:tcBorders>
            <w:vAlign w:val="center"/>
            <w:hideMark/>
          </w:tcPr>
          <w:p w14:paraId="27FDD455"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86" w:type="dxa"/>
            <w:vMerge/>
            <w:tcBorders>
              <w:top w:val="nil"/>
              <w:left w:val="single" w:sz="4" w:space="0" w:color="auto"/>
              <w:bottom w:val="single" w:sz="4" w:space="0" w:color="auto"/>
              <w:right w:val="single" w:sz="4" w:space="0" w:color="auto"/>
            </w:tcBorders>
            <w:vAlign w:val="center"/>
            <w:hideMark/>
          </w:tcPr>
          <w:p w14:paraId="4FC786DD"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1" w:type="dxa"/>
            <w:vMerge/>
            <w:tcBorders>
              <w:top w:val="nil"/>
              <w:left w:val="single" w:sz="4" w:space="0" w:color="auto"/>
              <w:bottom w:val="single" w:sz="4" w:space="0" w:color="auto"/>
              <w:right w:val="single" w:sz="4" w:space="0" w:color="auto"/>
            </w:tcBorders>
            <w:vAlign w:val="center"/>
            <w:hideMark/>
          </w:tcPr>
          <w:p w14:paraId="348DA66D"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42" w:type="dxa"/>
            <w:vMerge/>
            <w:tcBorders>
              <w:top w:val="nil"/>
              <w:left w:val="single" w:sz="4" w:space="0" w:color="auto"/>
              <w:bottom w:val="single" w:sz="4" w:space="0" w:color="auto"/>
              <w:right w:val="single" w:sz="4" w:space="0" w:color="auto"/>
            </w:tcBorders>
            <w:vAlign w:val="center"/>
            <w:hideMark/>
          </w:tcPr>
          <w:p w14:paraId="39366AC8"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77AB438F"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850" w:type="dxa"/>
            <w:gridSpan w:val="2"/>
            <w:vMerge/>
            <w:tcBorders>
              <w:top w:val="single" w:sz="4" w:space="0" w:color="auto"/>
              <w:left w:val="single" w:sz="4" w:space="0" w:color="auto"/>
              <w:bottom w:val="single" w:sz="4" w:space="0" w:color="auto"/>
              <w:right w:val="single" w:sz="4" w:space="0" w:color="auto"/>
            </w:tcBorders>
            <w:vAlign w:val="center"/>
            <w:hideMark/>
          </w:tcPr>
          <w:p w14:paraId="004BBB0A"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851" w:type="dxa"/>
            <w:gridSpan w:val="2"/>
            <w:vMerge/>
            <w:tcBorders>
              <w:top w:val="single" w:sz="4" w:space="0" w:color="auto"/>
              <w:left w:val="single" w:sz="4" w:space="0" w:color="auto"/>
              <w:bottom w:val="single" w:sz="4" w:space="0" w:color="auto"/>
              <w:right w:val="single" w:sz="4" w:space="0" w:color="auto"/>
            </w:tcBorders>
            <w:vAlign w:val="center"/>
            <w:hideMark/>
          </w:tcPr>
          <w:p w14:paraId="74532C4C"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744E73" w:rsidRPr="00287054" w14:paraId="60A84176" w14:textId="77777777" w:rsidTr="00B334F7">
        <w:trPr>
          <w:trHeight w:val="300"/>
        </w:trPr>
        <w:tc>
          <w:tcPr>
            <w:tcW w:w="923" w:type="dxa"/>
            <w:vMerge/>
            <w:tcBorders>
              <w:top w:val="nil"/>
              <w:left w:val="single" w:sz="4" w:space="0" w:color="auto"/>
              <w:bottom w:val="single" w:sz="4" w:space="0" w:color="auto"/>
              <w:right w:val="single" w:sz="4" w:space="0" w:color="auto"/>
            </w:tcBorders>
            <w:vAlign w:val="center"/>
            <w:hideMark/>
          </w:tcPr>
          <w:p w14:paraId="3E3948E5"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36AE40C0"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1" w:type="dxa"/>
            <w:vMerge/>
            <w:tcBorders>
              <w:top w:val="nil"/>
              <w:left w:val="single" w:sz="4" w:space="0" w:color="auto"/>
              <w:bottom w:val="single" w:sz="4" w:space="0" w:color="auto"/>
              <w:right w:val="single" w:sz="4" w:space="0" w:color="auto"/>
            </w:tcBorders>
            <w:vAlign w:val="center"/>
            <w:hideMark/>
          </w:tcPr>
          <w:p w14:paraId="55F6CB22"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86" w:type="dxa"/>
            <w:vMerge/>
            <w:tcBorders>
              <w:top w:val="nil"/>
              <w:left w:val="single" w:sz="4" w:space="0" w:color="auto"/>
              <w:bottom w:val="single" w:sz="4" w:space="0" w:color="auto"/>
              <w:right w:val="single" w:sz="4" w:space="0" w:color="auto"/>
            </w:tcBorders>
            <w:vAlign w:val="center"/>
            <w:hideMark/>
          </w:tcPr>
          <w:p w14:paraId="77DBB8D5"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31" w:type="dxa"/>
            <w:vMerge/>
            <w:tcBorders>
              <w:top w:val="nil"/>
              <w:left w:val="single" w:sz="4" w:space="0" w:color="auto"/>
              <w:bottom w:val="single" w:sz="4" w:space="0" w:color="auto"/>
              <w:right w:val="single" w:sz="4" w:space="0" w:color="auto"/>
            </w:tcBorders>
            <w:vAlign w:val="center"/>
            <w:hideMark/>
          </w:tcPr>
          <w:p w14:paraId="434EA948"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42" w:type="dxa"/>
            <w:vMerge/>
            <w:tcBorders>
              <w:top w:val="nil"/>
              <w:left w:val="single" w:sz="4" w:space="0" w:color="auto"/>
              <w:bottom w:val="single" w:sz="4" w:space="0" w:color="auto"/>
              <w:right w:val="single" w:sz="4" w:space="0" w:color="auto"/>
            </w:tcBorders>
            <w:vAlign w:val="center"/>
            <w:hideMark/>
          </w:tcPr>
          <w:p w14:paraId="3BC10A32"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77B0EE3C"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27" w:type="dxa"/>
            <w:tcBorders>
              <w:top w:val="nil"/>
              <w:left w:val="nil"/>
              <w:bottom w:val="single" w:sz="4" w:space="0" w:color="auto"/>
              <w:right w:val="single" w:sz="4" w:space="0" w:color="auto"/>
            </w:tcBorders>
            <w:shd w:val="clear" w:color="auto" w:fill="auto"/>
            <w:vAlign w:val="center"/>
            <w:hideMark/>
          </w:tcPr>
          <w:p w14:paraId="59B07E57"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923" w:type="dxa"/>
            <w:tcBorders>
              <w:top w:val="nil"/>
              <w:left w:val="nil"/>
              <w:bottom w:val="single" w:sz="4" w:space="0" w:color="auto"/>
              <w:right w:val="single" w:sz="4" w:space="0" w:color="auto"/>
            </w:tcBorders>
            <w:shd w:val="clear" w:color="auto" w:fill="auto"/>
            <w:vAlign w:val="center"/>
            <w:hideMark/>
          </w:tcPr>
          <w:p w14:paraId="62EBA3E6"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928" w:type="dxa"/>
            <w:tcBorders>
              <w:top w:val="nil"/>
              <w:left w:val="nil"/>
              <w:bottom w:val="single" w:sz="4" w:space="0" w:color="auto"/>
              <w:right w:val="single" w:sz="4" w:space="0" w:color="auto"/>
            </w:tcBorders>
            <w:shd w:val="clear" w:color="auto" w:fill="auto"/>
            <w:vAlign w:val="center"/>
            <w:hideMark/>
          </w:tcPr>
          <w:p w14:paraId="04FB95A9"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923" w:type="dxa"/>
            <w:tcBorders>
              <w:top w:val="nil"/>
              <w:left w:val="nil"/>
              <w:bottom w:val="single" w:sz="4" w:space="0" w:color="auto"/>
              <w:right w:val="single" w:sz="4" w:space="0" w:color="auto"/>
            </w:tcBorders>
            <w:shd w:val="clear" w:color="auto" w:fill="auto"/>
            <w:vAlign w:val="center"/>
            <w:hideMark/>
          </w:tcPr>
          <w:p w14:paraId="42A92579"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E73956" w:rsidRPr="00287054" w14:paraId="1E2C7319" w14:textId="77777777" w:rsidTr="00744E73">
        <w:trPr>
          <w:trHeight w:val="765"/>
        </w:trPr>
        <w:tc>
          <w:tcPr>
            <w:tcW w:w="923" w:type="dxa"/>
            <w:tcBorders>
              <w:top w:val="nil"/>
              <w:left w:val="single" w:sz="4" w:space="0" w:color="auto"/>
              <w:bottom w:val="single" w:sz="4" w:space="0" w:color="auto"/>
              <w:right w:val="single" w:sz="4" w:space="0" w:color="auto"/>
            </w:tcBorders>
            <w:shd w:val="clear" w:color="auto" w:fill="auto"/>
            <w:vAlign w:val="center"/>
            <w:hideMark/>
          </w:tcPr>
          <w:p w14:paraId="31E4348B"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55" w:type="dxa"/>
            <w:vMerge w:val="restart"/>
            <w:tcBorders>
              <w:top w:val="nil"/>
              <w:left w:val="single" w:sz="4" w:space="0" w:color="auto"/>
              <w:bottom w:val="single" w:sz="4" w:space="0" w:color="000000"/>
              <w:right w:val="single" w:sz="4" w:space="0" w:color="auto"/>
            </w:tcBorders>
            <w:shd w:val="clear" w:color="auto" w:fill="auto"/>
            <w:vAlign w:val="center"/>
            <w:hideMark/>
          </w:tcPr>
          <w:p w14:paraId="1AC088D2"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UL</w:t>
            </w: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14:paraId="674DAF56"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DL</w:t>
            </w:r>
          </w:p>
        </w:tc>
        <w:tc>
          <w:tcPr>
            <w:tcW w:w="1186" w:type="dxa"/>
            <w:tcBorders>
              <w:top w:val="nil"/>
              <w:left w:val="nil"/>
              <w:bottom w:val="single" w:sz="4" w:space="0" w:color="auto"/>
              <w:right w:val="single" w:sz="4" w:space="0" w:color="auto"/>
            </w:tcBorders>
            <w:shd w:val="clear" w:color="auto" w:fill="auto"/>
            <w:vAlign w:val="center"/>
            <w:hideMark/>
          </w:tcPr>
          <w:p w14:paraId="2A4C6849"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14:paraId="50497D87"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50 dBm</w:t>
            </w:r>
          </w:p>
        </w:tc>
        <w:tc>
          <w:tcPr>
            <w:tcW w:w="942" w:type="dxa"/>
            <w:vMerge w:val="restart"/>
            <w:tcBorders>
              <w:top w:val="nil"/>
              <w:left w:val="single" w:sz="4" w:space="0" w:color="auto"/>
              <w:bottom w:val="single" w:sz="4" w:space="0" w:color="auto"/>
              <w:right w:val="single" w:sz="4" w:space="0" w:color="auto"/>
            </w:tcBorders>
            <w:shd w:val="clear" w:color="auto" w:fill="auto"/>
            <w:vAlign w:val="center"/>
            <w:hideMark/>
          </w:tcPr>
          <w:p w14:paraId="2E61890C"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Enabled, without sub-band filtering</w:t>
            </w:r>
          </w:p>
        </w:tc>
        <w:tc>
          <w:tcPr>
            <w:tcW w:w="955" w:type="dxa"/>
            <w:vMerge w:val="restart"/>
            <w:tcBorders>
              <w:top w:val="nil"/>
              <w:left w:val="single" w:sz="4" w:space="0" w:color="auto"/>
              <w:bottom w:val="single" w:sz="4" w:space="0" w:color="auto"/>
              <w:right w:val="single" w:sz="4" w:space="0" w:color="auto"/>
            </w:tcBorders>
            <w:shd w:val="clear" w:color="auto" w:fill="auto"/>
            <w:vAlign w:val="center"/>
            <w:hideMark/>
          </w:tcPr>
          <w:p w14:paraId="6ED36580"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927" w:type="dxa"/>
            <w:tcBorders>
              <w:top w:val="nil"/>
              <w:left w:val="nil"/>
              <w:bottom w:val="single" w:sz="4" w:space="0" w:color="auto"/>
              <w:right w:val="single" w:sz="4" w:space="0" w:color="auto"/>
            </w:tcBorders>
            <w:shd w:val="clear" w:color="auto" w:fill="auto"/>
            <w:noWrap/>
            <w:vAlign w:val="center"/>
            <w:hideMark/>
          </w:tcPr>
          <w:p w14:paraId="3EE9DF07"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1.4</w:t>
            </w:r>
          </w:p>
        </w:tc>
        <w:tc>
          <w:tcPr>
            <w:tcW w:w="923" w:type="dxa"/>
            <w:tcBorders>
              <w:top w:val="nil"/>
              <w:left w:val="nil"/>
              <w:bottom w:val="single" w:sz="4" w:space="0" w:color="auto"/>
              <w:right w:val="single" w:sz="4" w:space="0" w:color="auto"/>
            </w:tcBorders>
            <w:shd w:val="clear" w:color="auto" w:fill="auto"/>
            <w:noWrap/>
            <w:vAlign w:val="center"/>
            <w:hideMark/>
          </w:tcPr>
          <w:p w14:paraId="2D1DEF61"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0.96</w:t>
            </w:r>
          </w:p>
        </w:tc>
        <w:tc>
          <w:tcPr>
            <w:tcW w:w="92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0751BED"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923" w:type="dxa"/>
            <w:tcBorders>
              <w:top w:val="nil"/>
              <w:left w:val="nil"/>
              <w:bottom w:val="single" w:sz="4" w:space="0" w:color="auto"/>
              <w:right w:val="single" w:sz="4" w:space="0" w:color="auto"/>
            </w:tcBorders>
            <w:shd w:val="clear" w:color="auto" w:fill="auto"/>
            <w:noWrap/>
            <w:vAlign w:val="center"/>
            <w:hideMark/>
          </w:tcPr>
          <w:p w14:paraId="57BD3C12"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3.33</w:t>
            </w:r>
          </w:p>
        </w:tc>
      </w:tr>
      <w:tr w:rsidR="00E73956" w:rsidRPr="00287054" w14:paraId="0C070ECB" w14:textId="77777777" w:rsidTr="00744E73">
        <w:trPr>
          <w:trHeight w:val="765"/>
        </w:trPr>
        <w:tc>
          <w:tcPr>
            <w:tcW w:w="923" w:type="dxa"/>
            <w:tcBorders>
              <w:top w:val="nil"/>
              <w:left w:val="single" w:sz="4" w:space="0" w:color="auto"/>
              <w:bottom w:val="single" w:sz="4" w:space="0" w:color="auto"/>
              <w:right w:val="single" w:sz="4" w:space="0" w:color="auto"/>
            </w:tcBorders>
            <w:shd w:val="clear" w:color="auto" w:fill="auto"/>
            <w:vAlign w:val="center"/>
            <w:hideMark/>
          </w:tcPr>
          <w:p w14:paraId="2A484F24"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55" w:type="dxa"/>
            <w:vMerge/>
            <w:tcBorders>
              <w:top w:val="nil"/>
              <w:left w:val="single" w:sz="4" w:space="0" w:color="auto"/>
              <w:bottom w:val="single" w:sz="4" w:space="0" w:color="000000"/>
              <w:right w:val="single" w:sz="4" w:space="0" w:color="auto"/>
            </w:tcBorders>
            <w:vAlign w:val="center"/>
            <w:hideMark/>
          </w:tcPr>
          <w:p w14:paraId="3310CF60"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1" w:type="dxa"/>
            <w:vMerge/>
            <w:tcBorders>
              <w:top w:val="nil"/>
              <w:left w:val="single" w:sz="4" w:space="0" w:color="auto"/>
              <w:bottom w:val="single" w:sz="4" w:space="0" w:color="auto"/>
              <w:right w:val="single" w:sz="4" w:space="0" w:color="auto"/>
            </w:tcBorders>
            <w:vAlign w:val="center"/>
            <w:hideMark/>
          </w:tcPr>
          <w:p w14:paraId="26F071AA"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71454DCA"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931" w:type="dxa"/>
            <w:vMerge/>
            <w:tcBorders>
              <w:top w:val="nil"/>
              <w:left w:val="single" w:sz="4" w:space="0" w:color="auto"/>
              <w:bottom w:val="single" w:sz="4" w:space="0" w:color="auto"/>
              <w:right w:val="single" w:sz="4" w:space="0" w:color="auto"/>
            </w:tcBorders>
            <w:vAlign w:val="center"/>
            <w:hideMark/>
          </w:tcPr>
          <w:p w14:paraId="0AC61FB8"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2" w:type="dxa"/>
            <w:vMerge/>
            <w:tcBorders>
              <w:top w:val="nil"/>
              <w:left w:val="single" w:sz="4" w:space="0" w:color="auto"/>
              <w:bottom w:val="single" w:sz="4" w:space="0" w:color="auto"/>
              <w:right w:val="single" w:sz="4" w:space="0" w:color="auto"/>
            </w:tcBorders>
            <w:vAlign w:val="center"/>
            <w:hideMark/>
          </w:tcPr>
          <w:p w14:paraId="6DBB8785"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4E4AE390"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7" w:type="dxa"/>
            <w:tcBorders>
              <w:top w:val="nil"/>
              <w:left w:val="nil"/>
              <w:bottom w:val="single" w:sz="4" w:space="0" w:color="auto"/>
              <w:right w:val="single" w:sz="4" w:space="0" w:color="auto"/>
            </w:tcBorders>
            <w:shd w:val="clear" w:color="auto" w:fill="auto"/>
            <w:noWrap/>
            <w:vAlign w:val="center"/>
            <w:hideMark/>
          </w:tcPr>
          <w:p w14:paraId="2A08FB08"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0.64</w:t>
            </w:r>
          </w:p>
        </w:tc>
        <w:tc>
          <w:tcPr>
            <w:tcW w:w="923" w:type="dxa"/>
            <w:tcBorders>
              <w:top w:val="nil"/>
              <w:left w:val="nil"/>
              <w:bottom w:val="single" w:sz="4" w:space="0" w:color="auto"/>
              <w:right w:val="single" w:sz="4" w:space="0" w:color="auto"/>
            </w:tcBorders>
            <w:shd w:val="clear" w:color="auto" w:fill="auto"/>
            <w:noWrap/>
            <w:vAlign w:val="center"/>
            <w:hideMark/>
          </w:tcPr>
          <w:p w14:paraId="35933514"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0.62</w:t>
            </w:r>
          </w:p>
        </w:tc>
        <w:tc>
          <w:tcPr>
            <w:tcW w:w="92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B680B91"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100</w:t>
            </w:r>
          </w:p>
        </w:tc>
        <w:tc>
          <w:tcPr>
            <w:tcW w:w="923" w:type="dxa"/>
            <w:tcBorders>
              <w:top w:val="nil"/>
              <w:left w:val="nil"/>
              <w:bottom w:val="single" w:sz="4" w:space="0" w:color="auto"/>
              <w:right w:val="single" w:sz="4" w:space="0" w:color="auto"/>
            </w:tcBorders>
            <w:shd w:val="clear" w:color="auto" w:fill="auto"/>
            <w:noWrap/>
            <w:vAlign w:val="center"/>
            <w:hideMark/>
          </w:tcPr>
          <w:p w14:paraId="1190A893"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3.06</w:t>
            </w:r>
          </w:p>
        </w:tc>
      </w:tr>
      <w:tr w:rsidR="00E73956" w:rsidRPr="00287054" w14:paraId="4D8702D3" w14:textId="77777777" w:rsidTr="00744E73">
        <w:trPr>
          <w:trHeight w:val="765"/>
        </w:trPr>
        <w:tc>
          <w:tcPr>
            <w:tcW w:w="923" w:type="dxa"/>
            <w:tcBorders>
              <w:top w:val="nil"/>
              <w:left w:val="single" w:sz="4" w:space="0" w:color="auto"/>
              <w:bottom w:val="single" w:sz="4" w:space="0" w:color="auto"/>
              <w:right w:val="single" w:sz="4" w:space="0" w:color="auto"/>
            </w:tcBorders>
            <w:shd w:val="clear" w:color="auto" w:fill="auto"/>
            <w:vAlign w:val="center"/>
            <w:hideMark/>
          </w:tcPr>
          <w:p w14:paraId="05CF464F"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55" w:type="dxa"/>
            <w:vMerge/>
            <w:tcBorders>
              <w:top w:val="nil"/>
              <w:left w:val="single" w:sz="4" w:space="0" w:color="auto"/>
              <w:bottom w:val="single" w:sz="4" w:space="0" w:color="000000"/>
              <w:right w:val="single" w:sz="4" w:space="0" w:color="auto"/>
            </w:tcBorders>
            <w:vAlign w:val="center"/>
            <w:hideMark/>
          </w:tcPr>
          <w:p w14:paraId="7BC8FFE4"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14:paraId="690DBAB2"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UL</w:t>
            </w:r>
          </w:p>
        </w:tc>
        <w:tc>
          <w:tcPr>
            <w:tcW w:w="1186" w:type="dxa"/>
            <w:tcBorders>
              <w:top w:val="nil"/>
              <w:left w:val="nil"/>
              <w:bottom w:val="single" w:sz="4" w:space="0" w:color="auto"/>
              <w:right w:val="single" w:sz="4" w:space="0" w:color="auto"/>
            </w:tcBorders>
            <w:shd w:val="clear" w:color="auto" w:fill="auto"/>
            <w:vAlign w:val="center"/>
            <w:hideMark/>
          </w:tcPr>
          <w:p w14:paraId="4EC03C05"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931" w:type="dxa"/>
            <w:vMerge/>
            <w:tcBorders>
              <w:top w:val="nil"/>
              <w:left w:val="single" w:sz="4" w:space="0" w:color="auto"/>
              <w:bottom w:val="single" w:sz="4" w:space="0" w:color="auto"/>
              <w:right w:val="single" w:sz="4" w:space="0" w:color="auto"/>
            </w:tcBorders>
            <w:vAlign w:val="center"/>
            <w:hideMark/>
          </w:tcPr>
          <w:p w14:paraId="3FCB613C"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2" w:type="dxa"/>
            <w:vMerge/>
            <w:tcBorders>
              <w:top w:val="nil"/>
              <w:left w:val="single" w:sz="4" w:space="0" w:color="auto"/>
              <w:bottom w:val="single" w:sz="4" w:space="0" w:color="auto"/>
              <w:right w:val="single" w:sz="4" w:space="0" w:color="auto"/>
            </w:tcBorders>
            <w:vAlign w:val="center"/>
            <w:hideMark/>
          </w:tcPr>
          <w:p w14:paraId="785E1755"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4CB1FE3B"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7" w:type="dxa"/>
            <w:tcBorders>
              <w:top w:val="nil"/>
              <w:left w:val="nil"/>
              <w:bottom w:val="single" w:sz="4" w:space="0" w:color="auto"/>
              <w:right w:val="single" w:sz="4" w:space="0" w:color="auto"/>
            </w:tcBorders>
            <w:shd w:val="clear" w:color="auto" w:fill="auto"/>
            <w:noWrap/>
            <w:vAlign w:val="center"/>
            <w:hideMark/>
          </w:tcPr>
          <w:p w14:paraId="6372FC11"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-0.02</w:t>
            </w:r>
          </w:p>
        </w:tc>
        <w:tc>
          <w:tcPr>
            <w:tcW w:w="923" w:type="dxa"/>
            <w:tcBorders>
              <w:top w:val="nil"/>
              <w:left w:val="nil"/>
              <w:bottom w:val="single" w:sz="4" w:space="0" w:color="auto"/>
              <w:right w:val="single" w:sz="4" w:space="0" w:color="auto"/>
            </w:tcBorders>
            <w:shd w:val="clear" w:color="auto" w:fill="auto"/>
            <w:noWrap/>
            <w:vAlign w:val="center"/>
            <w:hideMark/>
          </w:tcPr>
          <w:p w14:paraId="4D3D01D3"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w:t>
            </w:r>
          </w:p>
        </w:tc>
        <w:tc>
          <w:tcPr>
            <w:tcW w:w="92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87BD9D7"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923" w:type="dxa"/>
            <w:tcBorders>
              <w:top w:val="nil"/>
              <w:left w:val="nil"/>
              <w:bottom w:val="single" w:sz="4" w:space="0" w:color="auto"/>
              <w:right w:val="single" w:sz="4" w:space="0" w:color="auto"/>
            </w:tcBorders>
            <w:shd w:val="clear" w:color="auto" w:fill="auto"/>
            <w:noWrap/>
            <w:vAlign w:val="center"/>
            <w:hideMark/>
          </w:tcPr>
          <w:p w14:paraId="0260CCF3"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0.18</w:t>
            </w:r>
          </w:p>
        </w:tc>
      </w:tr>
      <w:tr w:rsidR="00E73956" w:rsidRPr="00287054" w14:paraId="432C3F82" w14:textId="77777777" w:rsidTr="00744E73">
        <w:trPr>
          <w:trHeight w:val="765"/>
        </w:trPr>
        <w:tc>
          <w:tcPr>
            <w:tcW w:w="923" w:type="dxa"/>
            <w:tcBorders>
              <w:top w:val="nil"/>
              <w:left w:val="single" w:sz="4" w:space="0" w:color="auto"/>
              <w:bottom w:val="single" w:sz="4" w:space="0" w:color="auto"/>
              <w:right w:val="single" w:sz="4" w:space="0" w:color="auto"/>
            </w:tcBorders>
            <w:shd w:val="clear" w:color="auto" w:fill="auto"/>
            <w:vAlign w:val="center"/>
            <w:hideMark/>
          </w:tcPr>
          <w:p w14:paraId="4F842EF8"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55" w:type="dxa"/>
            <w:vMerge/>
            <w:tcBorders>
              <w:top w:val="nil"/>
              <w:left w:val="single" w:sz="4" w:space="0" w:color="auto"/>
              <w:bottom w:val="single" w:sz="4" w:space="0" w:color="000000"/>
              <w:right w:val="single" w:sz="4" w:space="0" w:color="auto"/>
            </w:tcBorders>
            <w:vAlign w:val="center"/>
            <w:hideMark/>
          </w:tcPr>
          <w:p w14:paraId="1D0AC387"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1" w:type="dxa"/>
            <w:vMerge/>
            <w:tcBorders>
              <w:top w:val="nil"/>
              <w:left w:val="single" w:sz="4" w:space="0" w:color="auto"/>
              <w:bottom w:val="single" w:sz="4" w:space="0" w:color="auto"/>
              <w:right w:val="single" w:sz="4" w:space="0" w:color="auto"/>
            </w:tcBorders>
            <w:vAlign w:val="center"/>
            <w:hideMark/>
          </w:tcPr>
          <w:p w14:paraId="40FBC6F1"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160BEE89"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931" w:type="dxa"/>
            <w:vMerge/>
            <w:tcBorders>
              <w:top w:val="nil"/>
              <w:left w:val="single" w:sz="4" w:space="0" w:color="auto"/>
              <w:bottom w:val="single" w:sz="4" w:space="0" w:color="auto"/>
              <w:right w:val="single" w:sz="4" w:space="0" w:color="auto"/>
            </w:tcBorders>
            <w:vAlign w:val="center"/>
            <w:hideMark/>
          </w:tcPr>
          <w:p w14:paraId="62CAAF38"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2" w:type="dxa"/>
            <w:vMerge/>
            <w:tcBorders>
              <w:top w:val="nil"/>
              <w:left w:val="single" w:sz="4" w:space="0" w:color="auto"/>
              <w:bottom w:val="single" w:sz="4" w:space="0" w:color="auto"/>
              <w:right w:val="single" w:sz="4" w:space="0" w:color="auto"/>
            </w:tcBorders>
            <w:vAlign w:val="center"/>
            <w:hideMark/>
          </w:tcPr>
          <w:p w14:paraId="14B0F30E"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63690F4A"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7" w:type="dxa"/>
            <w:tcBorders>
              <w:top w:val="nil"/>
              <w:left w:val="nil"/>
              <w:bottom w:val="single" w:sz="4" w:space="0" w:color="auto"/>
              <w:right w:val="single" w:sz="4" w:space="0" w:color="auto"/>
            </w:tcBorders>
            <w:shd w:val="clear" w:color="auto" w:fill="auto"/>
            <w:noWrap/>
            <w:vAlign w:val="center"/>
            <w:hideMark/>
          </w:tcPr>
          <w:p w14:paraId="507C745B"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0.26</w:t>
            </w:r>
          </w:p>
        </w:tc>
        <w:tc>
          <w:tcPr>
            <w:tcW w:w="923" w:type="dxa"/>
            <w:tcBorders>
              <w:top w:val="nil"/>
              <w:left w:val="nil"/>
              <w:bottom w:val="single" w:sz="4" w:space="0" w:color="auto"/>
              <w:right w:val="single" w:sz="4" w:space="0" w:color="auto"/>
            </w:tcBorders>
            <w:shd w:val="clear" w:color="auto" w:fill="auto"/>
            <w:noWrap/>
            <w:vAlign w:val="center"/>
            <w:hideMark/>
          </w:tcPr>
          <w:p w14:paraId="5188A52B"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-0.29</w:t>
            </w:r>
          </w:p>
        </w:tc>
        <w:tc>
          <w:tcPr>
            <w:tcW w:w="92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23541DC"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923" w:type="dxa"/>
            <w:tcBorders>
              <w:top w:val="nil"/>
              <w:left w:val="nil"/>
              <w:bottom w:val="single" w:sz="4" w:space="0" w:color="auto"/>
              <w:right w:val="single" w:sz="4" w:space="0" w:color="auto"/>
            </w:tcBorders>
            <w:shd w:val="clear" w:color="auto" w:fill="auto"/>
            <w:noWrap/>
            <w:vAlign w:val="center"/>
            <w:hideMark/>
          </w:tcPr>
          <w:p w14:paraId="502C433A"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-0.56</w:t>
            </w:r>
          </w:p>
        </w:tc>
      </w:tr>
      <w:tr w:rsidR="00E73956" w:rsidRPr="00287054" w14:paraId="5B5E1D0B" w14:textId="77777777" w:rsidTr="00744E73">
        <w:trPr>
          <w:trHeight w:val="765"/>
        </w:trPr>
        <w:tc>
          <w:tcPr>
            <w:tcW w:w="923" w:type="dxa"/>
            <w:tcBorders>
              <w:top w:val="nil"/>
              <w:left w:val="single" w:sz="4" w:space="0" w:color="auto"/>
              <w:bottom w:val="single" w:sz="4" w:space="0" w:color="auto"/>
              <w:right w:val="single" w:sz="4" w:space="0" w:color="auto"/>
            </w:tcBorders>
            <w:shd w:val="clear" w:color="auto" w:fill="auto"/>
            <w:vAlign w:val="center"/>
            <w:hideMark/>
          </w:tcPr>
          <w:p w14:paraId="138D2FE7"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55" w:type="dxa"/>
            <w:vMerge/>
            <w:tcBorders>
              <w:top w:val="nil"/>
              <w:left w:val="single" w:sz="4" w:space="0" w:color="auto"/>
              <w:bottom w:val="single" w:sz="4" w:space="0" w:color="000000"/>
              <w:right w:val="single" w:sz="4" w:space="0" w:color="auto"/>
            </w:tcBorders>
            <w:vAlign w:val="center"/>
            <w:hideMark/>
          </w:tcPr>
          <w:p w14:paraId="2A7363F2"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14:paraId="27CE0924"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DL</w:t>
            </w:r>
          </w:p>
        </w:tc>
        <w:tc>
          <w:tcPr>
            <w:tcW w:w="1186" w:type="dxa"/>
            <w:tcBorders>
              <w:top w:val="nil"/>
              <w:left w:val="nil"/>
              <w:bottom w:val="single" w:sz="4" w:space="0" w:color="auto"/>
              <w:right w:val="single" w:sz="4" w:space="0" w:color="auto"/>
            </w:tcBorders>
            <w:shd w:val="clear" w:color="auto" w:fill="auto"/>
            <w:vAlign w:val="center"/>
            <w:hideMark/>
          </w:tcPr>
          <w:p w14:paraId="264175D5"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14:paraId="3852385B"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53 dBm</w:t>
            </w:r>
          </w:p>
        </w:tc>
        <w:tc>
          <w:tcPr>
            <w:tcW w:w="942" w:type="dxa"/>
            <w:vMerge/>
            <w:tcBorders>
              <w:top w:val="nil"/>
              <w:left w:val="single" w:sz="4" w:space="0" w:color="auto"/>
              <w:bottom w:val="single" w:sz="4" w:space="0" w:color="auto"/>
              <w:right w:val="single" w:sz="4" w:space="0" w:color="auto"/>
            </w:tcBorders>
            <w:vAlign w:val="center"/>
            <w:hideMark/>
          </w:tcPr>
          <w:p w14:paraId="4548DBF1"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172A8113"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7" w:type="dxa"/>
            <w:tcBorders>
              <w:top w:val="nil"/>
              <w:left w:val="nil"/>
              <w:bottom w:val="single" w:sz="4" w:space="0" w:color="auto"/>
              <w:right w:val="single" w:sz="4" w:space="0" w:color="auto"/>
            </w:tcBorders>
            <w:shd w:val="clear" w:color="auto" w:fill="auto"/>
            <w:noWrap/>
            <w:vAlign w:val="center"/>
            <w:hideMark/>
          </w:tcPr>
          <w:p w14:paraId="54A6652E"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1.84</w:t>
            </w:r>
          </w:p>
        </w:tc>
        <w:tc>
          <w:tcPr>
            <w:tcW w:w="923" w:type="dxa"/>
            <w:tcBorders>
              <w:top w:val="nil"/>
              <w:left w:val="nil"/>
              <w:bottom w:val="single" w:sz="4" w:space="0" w:color="auto"/>
              <w:right w:val="single" w:sz="4" w:space="0" w:color="auto"/>
            </w:tcBorders>
            <w:shd w:val="clear" w:color="auto" w:fill="auto"/>
            <w:noWrap/>
            <w:vAlign w:val="center"/>
            <w:hideMark/>
          </w:tcPr>
          <w:p w14:paraId="0E848728"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0.41</w:t>
            </w:r>
          </w:p>
        </w:tc>
        <w:tc>
          <w:tcPr>
            <w:tcW w:w="92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D41BD29"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30.28</w:t>
            </w:r>
          </w:p>
        </w:tc>
        <w:tc>
          <w:tcPr>
            <w:tcW w:w="923" w:type="dxa"/>
            <w:tcBorders>
              <w:top w:val="nil"/>
              <w:left w:val="nil"/>
              <w:bottom w:val="single" w:sz="4" w:space="0" w:color="auto"/>
              <w:right w:val="single" w:sz="4" w:space="0" w:color="auto"/>
            </w:tcBorders>
            <w:shd w:val="clear" w:color="auto" w:fill="auto"/>
            <w:noWrap/>
            <w:vAlign w:val="center"/>
            <w:hideMark/>
          </w:tcPr>
          <w:p w14:paraId="2E028724"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2.59</w:t>
            </w:r>
          </w:p>
        </w:tc>
      </w:tr>
      <w:tr w:rsidR="00E73956" w:rsidRPr="00287054" w14:paraId="1867F119" w14:textId="77777777" w:rsidTr="00744E73">
        <w:trPr>
          <w:trHeight w:val="765"/>
        </w:trPr>
        <w:tc>
          <w:tcPr>
            <w:tcW w:w="923" w:type="dxa"/>
            <w:tcBorders>
              <w:top w:val="nil"/>
              <w:left w:val="single" w:sz="4" w:space="0" w:color="auto"/>
              <w:bottom w:val="single" w:sz="4" w:space="0" w:color="auto"/>
              <w:right w:val="single" w:sz="4" w:space="0" w:color="auto"/>
            </w:tcBorders>
            <w:shd w:val="clear" w:color="auto" w:fill="auto"/>
            <w:vAlign w:val="center"/>
            <w:hideMark/>
          </w:tcPr>
          <w:p w14:paraId="448D1A12"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55" w:type="dxa"/>
            <w:vMerge/>
            <w:tcBorders>
              <w:top w:val="nil"/>
              <w:left w:val="single" w:sz="4" w:space="0" w:color="auto"/>
              <w:bottom w:val="single" w:sz="4" w:space="0" w:color="000000"/>
              <w:right w:val="single" w:sz="4" w:space="0" w:color="auto"/>
            </w:tcBorders>
            <w:vAlign w:val="center"/>
            <w:hideMark/>
          </w:tcPr>
          <w:p w14:paraId="742DEDAB"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1" w:type="dxa"/>
            <w:vMerge/>
            <w:tcBorders>
              <w:top w:val="nil"/>
              <w:left w:val="single" w:sz="4" w:space="0" w:color="auto"/>
              <w:bottom w:val="single" w:sz="4" w:space="0" w:color="auto"/>
              <w:right w:val="single" w:sz="4" w:space="0" w:color="auto"/>
            </w:tcBorders>
            <w:vAlign w:val="center"/>
            <w:hideMark/>
          </w:tcPr>
          <w:p w14:paraId="21039DC1"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22C7A67E"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931" w:type="dxa"/>
            <w:vMerge/>
            <w:tcBorders>
              <w:top w:val="nil"/>
              <w:left w:val="single" w:sz="4" w:space="0" w:color="auto"/>
              <w:bottom w:val="single" w:sz="4" w:space="0" w:color="auto"/>
              <w:right w:val="single" w:sz="4" w:space="0" w:color="auto"/>
            </w:tcBorders>
            <w:vAlign w:val="center"/>
            <w:hideMark/>
          </w:tcPr>
          <w:p w14:paraId="604AFE26"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2" w:type="dxa"/>
            <w:vMerge/>
            <w:tcBorders>
              <w:top w:val="nil"/>
              <w:left w:val="single" w:sz="4" w:space="0" w:color="auto"/>
              <w:bottom w:val="single" w:sz="4" w:space="0" w:color="auto"/>
              <w:right w:val="single" w:sz="4" w:space="0" w:color="auto"/>
            </w:tcBorders>
            <w:vAlign w:val="center"/>
            <w:hideMark/>
          </w:tcPr>
          <w:p w14:paraId="3804D17F"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2BE5B8E0"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7" w:type="dxa"/>
            <w:tcBorders>
              <w:top w:val="nil"/>
              <w:left w:val="nil"/>
              <w:bottom w:val="single" w:sz="4" w:space="0" w:color="auto"/>
              <w:right w:val="single" w:sz="4" w:space="0" w:color="auto"/>
            </w:tcBorders>
            <w:shd w:val="clear" w:color="auto" w:fill="auto"/>
            <w:noWrap/>
            <w:vAlign w:val="center"/>
            <w:hideMark/>
          </w:tcPr>
          <w:p w14:paraId="26F224A5"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0.67</w:t>
            </w:r>
          </w:p>
        </w:tc>
        <w:tc>
          <w:tcPr>
            <w:tcW w:w="923" w:type="dxa"/>
            <w:tcBorders>
              <w:top w:val="nil"/>
              <w:left w:val="nil"/>
              <w:bottom w:val="single" w:sz="4" w:space="0" w:color="auto"/>
              <w:right w:val="single" w:sz="4" w:space="0" w:color="auto"/>
            </w:tcBorders>
            <w:shd w:val="clear" w:color="auto" w:fill="auto"/>
            <w:noWrap/>
            <w:vAlign w:val="center"/>
            <w:hideMark/>
          </w:tcPr>
          <w:p w14:paraId="32749B6B"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0.33</w:t>
            </w:r>
          </w:p>
        </w:tc>
        <w:tc>
          <w:tcPr>
            <w:tcW w:w="92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E7B2AAB"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11.76</w:t>
            </w:r>
          </w:p>
        </w:tc>
        <w:tc>
          <w:tcPr>
            <w:tcW w:w="923" w:type="dxa"/>
            <w:tcBorders>
              <w:top w:val="nil"/>
              <w:left w:val="nil"/>
              <w:bottom w:val="single" w:sz="4" w:space="0" w:color="auto"/>
              <w:right w:val="single" w:sz="4" w:space="0" w:color="auto"/>
            </w:tcBorders>
            <w:shd w:val="clear" w:color="auto" w:fill="auto"/>
            <w:noWrap/>
            <w:vAlign w:val="center"/>
            <w:hideMark/>
          </w:tcPr>
          <w:p w14:paraId="1620B0F3"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1.86</w:t>
            </w:r>
          </w:p>
        </w:tc>
      </w:tr>
      <w:tr w:rsidR="00E73956" w:rsidRPr="00287054" w14:paraId="7AC5274A" w14:textId="77777777" w:rsidTr="00744E73">
        <w:trPr>
          <w:trHeight w:val="765"/>
        </w:trPr>
        <w:tc>
          <w:tcPr>
            <w:tcW w:w="923" w:type="dxa"/>
            <w:tcBorders>
              <w:top w:val="nil"/>
              <w:left w:val="single" w:sz="4" w:space="0" w:color="auto"/>
              <w:bottom w:val="single" w:sz="4" w:space="0" w:color="auto"/>
              <w:right w:val="single" w:sz="4" w:space="0" w:color="auto"/>
            </w:tcBorders>
            <w:shd w:val="clear" w:color="auto" w:fill="auto"/>
            <w:vAlign w:val="center"/>
            <w:hideMark/>
          </w:tcPr>
          <w:p w14:paraId="669909BF"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55" w:type="dxa"/>
            <w:vMerge/>
            <w:tcBorders>
              <w:top w:val="nil"/>
              <w:left w:val="single" w:sz="4" w:space="0" w:color="auto"/>
              <w:bottom w:val="single" w:sz="4" w:space="0" w:color="000000"/>
              <w:right w:val="single" w:sz="4" w:space="0" w:color="auto"/>
            </w:tcBorders>
            <w:vAlign w:val="center"/>
            <w:hideMark/>
          </w:tcPr>
          <w:p w14:paraId="1817D109"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14:paraId="64BB0848"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UL</w:t>
            </w:r>
          </w:p>
        </w:tc>
        <w:tc>
          <w:tcPr>
            <w:tcW w:w="1186" w:type="dxa"/>
            <w:tcBorders>
              <w:top w:val="nil"/>
              <w:left w:val="nil"/>
              <w:bottom w:val="single" w:sz="4" w:space="0" w:color="auto"/>
              <w:right w:val="single" w:sz="4" w:space="0" w:color="auto"/>
            </w:tcBorders>
            <w:shd w:val="clear" w:color="auto" w:fill="auto"/>
            <w:vAlign w:val="center"/>
            <w:hideMark/>
          </w:tcPr>
          <w:p w14:paraId="76398CF7"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931" w:type="dxa"/>
            <w:vMerge/>
            <w:tcBorders>
              <w:top w:val="nil"/>
              <w:left w:val="single" w:sz="4" w:space="0" w:color="auto"/>
              <w:bottom w:val="single" w:sz="4" w:space="0" w:color="auto"/>
              <w:right w:val="single" w:sz="4" w:space="0" w:color="auto"/>
            </w:tcBorders>
            <w:vAlign w:val="center"/>
            <w:hideMark/>
          </w:tcPr>
          <w:p w14:paraId="18E1E5A1"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2" w:type="dxa"/>
            <w:vMerge/>
            <w:tcBorders>
              <w:top w:val="nil"/>
              <w:left w:val="single" w:sz="4" w:space="0" w:color="auto"/>
              <w:bottom w:val="single" w:sz="4" w:space="0" w:color="auto"/>
              <w:right w:val="single" w:sz="4" w:space="0" w:color="auto"/>
            </w:tcBorders>
            <w:vAlign w:val="center"/>
            <w:hideMark/>
          </w:tcPr>
          <w:p w14:paraId="2D331BBE"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1CBC2217"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7" w:type="dxa"/>
            <w:tcBorders>
              <w:top w:val="nil"/>
              <w:left w:val="nil"/>
              <w:bottom w:val="single" w:sz="4" w:space="0" w:color="auto"/>
              <w:right w:val="single" w:sz="4" w:space="0" w:color="auto"/>
            </w:tcBorders>
            <w:shd w:val="clear" w:color="auto" w:fill="auto"/>
            <w:noWrap/>
            <w:vAlign w:val="center"/>
            <w:hideMark/>
          </w:tcPr>
          <w:p w14:paraId="78748C91"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0.71</w:t>
            </w:r>
          </w:p>
        </w:tc>
        <w:tc>
          <w:tcPr>
            <w:tcW w:w="923" w:type="dxa"/>
            <w:tcBorders>
              <w:top w:val="nil"/>
              <w:left w:val="nil"/>
              <w:bottom w:val="single" w:sz="4" w:space="0" w:color="auto"/>
              <w:right w:val="single" w:sz="4" w:space="0" w:color="auto"/>
            </w:tcBorders>
            <w:shd w:val="clear" w:color="auto" w:fill="auto"/>
            <w:noWrap/>
            <w:vAlign w:val="center"/>
            <w:hideMark/>
          </w:tcPr>
          <w:p w14:paraId="2A418A11"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-0.07</w:t>
            </w:r>
          </w:p>
        </w:tc>
        <w:tc>
          <w:tcPr>
            <w:tcW w:w="92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F5A7D87"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923" w:type="dxa"/>
            <w:tcBorders>
              <w:top w:val="nil"/>
              <w:left w:val="nil"/>
              <w:bottom w:val="single" w:sz="4" w:space="0" w:color="auto"/>
              <w:right w:val="single" w:sz="4" w:space="0" w:color="auto"/>
            </w:tcBorders>
            <w:shd w:val="clear" w:color="auto" w:fill="auto"/>
            <w:noWrap/>
            <w:vAlign w:val="center"/>
            <w:hideMark/>
          </w:tcPr>
          <w:p w14:paraId="3D8E653B"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0.05</w:t>
            </w:r>
          </w:p>
        </w:tc>
      </w:tr>
      <w:tr w:rsidR="00E73956" w:rsidRPr="00287054" w14:paraId="6F932B14" w14:textId="77777777" w:rsidTr="00744E73">
        <w:trPr>
          <w:trHeight w:val="765"/>
        </w:trPr>
        <w:tc>
          <w:tcPr>
            <w:tcW w:w="923" w:type="dxa"/>
            <w:tcBorders>
              <w:top w:val="nil"/>
              <w:left w:val="single" w:sz="4" w:space="0" w:color="auto"/>
              <w:bottom w:val="single" w:sz="4" w:space="0" w:color="auto"/>
              <w:right w:val="single" w:sz="4" w:space="0" w:color="auto"/>
            </w:tcBorders>
            <w:shd w:val="clear" w:color="auto" w:fill="auto"/>
            <w:vAlign w:val="center"/>
            <w:hideMark/>
          </w:tcPr>
          <w:p w14:paraId="78812E4D"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lastRenderedPageBreak/>
              <w:t>10%</w:t>
            </w:r>
          </w:p>
        </w:tc>
        <w:tc>
          <w:tcPr>
            <w:tcW w:w="955" w:type="dxa"/>
            <w:vMerge/>
            <w:tcBorders>
              <w:top w:val="nil"/>
              <w:left w:val="single" w:sz="4" w:space="0" w:color="auto"/>
              <w:bottom w:val="single" w:sz="4" w:space="0" w:color="000000"/>
              <w:right w:val="single" w:sz="4" w:space="0" w:color="auto"/>
            </w:tcBorders>
            <w:vAlign w:val="center"/>
            <w:hideMark/>
          </w:tcPr>
          <w:p w14:paraId="0EDA39E2"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31" w:type="dxa"/>
            <w:vMerge/>
            <w:tcBorders>
              <w:top w:val="nil"/>
              <w:left w:val="single" w:sz="4" w:space="0" w:color="auto"/>
              <w:bottom w:val="single" w:sz="4" w:space="0" w:color="auto"/>
              <w:right w:val="single" w:sz="4" w:space="0" w:color="auto"/>
            </w:tcBorders>
            <w:vAlign w:val="center"/>
            <w:hideMark/>
          </w:tcPr>
          <w:p w14:paraId="64EB5AF5"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86" w:type="dxa"/>
            <w:tcBorders>
              <w:top w:val="nil"/>
              <w:left w:val="nil"/>
              <w:bottom w:val="single" w:sz="4" w:space="0" w:color="auto"/>
              <w:right w:val="single" w:sz="4" w:space="0" w:color="auto"/>
            </w:tcBorders>
            <w:shd w:val="clear" w:color="auto" w:fill="auto"/>
            <w:vAlign w:val="center"/>
            <w:hideMark/>
          </w:tcPr>
          <w:p w14:paraId="340D4A43" w14:textId="77777777" w:rsidR="00744E73" w:rsidRPr="00B334F7" w:rsidRDefault="00744E73" w:rsidP="00744E73">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931" w:type="dxa"/>
            <w:vMerge/>
            <w:tcBorders>
              <w:top w:val="nil"/>
              <w:left w:val="single" w:sz="4" w:space="0" w:color="auto"/>
              <w:bottom w:val="single" w:sz="4" w:space="0" w:color="auto"/>
              <w:right w:val="single" w:sz="4" w:space="0" w:color="auto"/>
            </w:tcBorders>
            <w:vAlign w:val="center"/>
            <w:hideMark/>
          </w:tcPr>
          <w:p w14:paraId="7CE6BD55"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42" w:type="dxa"/>
            <w:vMerge/>
            <w:tcBorders>
              <w:top w:val="nil"/>
              <w:left w:val="single" w:sz="4" w:space="0" w:color="auto"/>
              <w:bottom w:val="single" w:sz="4" w:space="0" w:color="auto"/>
              <w:right w:val="single" w:sz="4" w:space="0" w:color="auto"/>
            </w:tcBorders>
            <w:vAlign w:val="center"/>
            <w:hideMark/>
          </w:tcPr>
          <w:p w14:paraId="3AFA73A5"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55" w:type="dxa"/>
            <w:vMerge/>
            <w:tcBorders>
              <w:top w:val="nil"/>
              <w:left w:val="single" w:sz="4" w:space="0" w:color="auto"/>
              <w:bottom w:val="single" w:sz="4" w:space="0" w:color="auto"/>
              <w:right w:val="single" w:sz="4" w:space="0" w:color="auto"/>
            </w:tcBorders>
            <w:vAlign w:val="center"/>
            <w:hideMark/>
          </w:tcPr>
          <w:p w14:paraId="35334DE5" w14:textId="77777777" w:rsidR="00744E73" w:rsidRPr="00B334F7" w:rsidRDefault="00744E73" w:rsidP="00744E73">
            <w:pPr>
              <w:overflowPunct/>
              <w:autoSpaceDE/>
              <w:autoSpaceDN/>
              <w:adjustRightInd/>
              <w:spacing w:after="0"/>
              <w:textAlignment w:val="auto"/>
              <w:rPr>
                <w:rFonts w:ascii="Times New Roman" w:eastAsia="Times New Roman" w:hAnsi="Times New Roman" w:cs="Times New Roman"/>
                <w:sz w:val="16"/>
                <w:szCs w:val="16"/>
                <w:lang w:val="en-US"/>
              </w:rPr>
            </w:pPr>
          </w:p>
        </w:tc>
        <w:tc>
          <w:tcPr>
            <w:tcW w:w="927" w:type="dxa"/>
            <w:tcBorders>
              <w:top w:val="nil"/>
              <w:left w:val="nil"/>
              <w:bottom w:val="single" w:sz="4" w:space="0" w:color="auto"/>
              <w:right w:val="single" w:sz="4" w:space="0" w:color="auto"/>
            </w:tcBorders>
            <w:shd w:val="clear" w:color="auto" w:fill="auto"/>
            <w:noWrap/>
            <w:vAlign w:val="center"/>
            <w:hideMark/>
          </w:tcPr>
          <w:p w14:paraId="0C401293"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-0.53</w:t>
            </w:r>
          </w:p>
        </w:tc>
        <w:tc>
          <w:tcPr>
            <w:tcW w:w="923" w:type="dxa"/>
            <w:tcBorders>
              <w:top w:val="nil"/>
              <w:left w:val="nil"/>
              <w:bottom w:val="single" w:sz="4" w:space="0" w:color="auto"/>
              <w:right w:val="single" w:sz="4" w:space="0" w:color="auto"/>
            </w:tcBorders>
            <w:shd w:val="clear" w:color="auto" w:fill="auto"/>
            <w:noWrap/>
            <w:vAlign w:val="center"/>
            <w:hideMark/>
          </w:tcPr>
          <w:p w14:paraId="111556B7"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-0.01</w:t>
            </w:r>
          </w:p>
        </w:tc>
        <w:tc>
          <w:tcPr>
            <w:tcW w:w="92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AAC5EA1"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923" w:type="dxa"/>
            <w:tcBorders>
              <w:top w:val="nil"/>
              <w:left w:val="nil"/>
              <w:bottom w:val="single" w:sz="4" w:space="0" w:color="auto"/>
              <w:right w:val="single" w:sz="4" w:space="0" w:color="auto"/>
            </w:tcBorders>
            <w:shd w:val="clear" w:color="auto" w:fill="auto"/>
            <w:noWrap/>
            <w:vAlign w:val="center"/>
            <w:hideMark/>
          </w:tcPr>
          <w:p w14:paraId="41B73083" w14:textId="77777777" w:rsidR="00744E73" w:rsidRPr="00B334F7" w:rsidRDefault="00744E73" w:rsidP="00744E73">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-0.21</w:t>
            </w:r>
          </w:p>
        </w:tc>
      </w:tr>
    </w:tbl>
    <w:p w14:paraId="081F4286" w14:textId="77777777" w:rsidR="00F168CB" w:rsidRDefault="00F168CB" w:rsidP="00F168CB">
      <w:pPr>
        <w:rPr>
          <w:lang w:val="en-US"/>
        </w:rPr>
      </w:pPr>
    </w:p>
    <w:p w14:paraId="32CBAB00" w14:textId="77777777" w:rsidR="00F80106" w:rsidRDefault="00F80106" w:rsidP="00F80106">
      <w:pPr>
        <w:rPr>
          <w:lang w:val="en-US"/>
        </w:rPr>
      </w:pPr>
      <w:r>
        <w:rPr>
          <w:lang w:val="en-US"/>
        </w:rPr>
        <w:t>Based on the results above, the following recommendations are proposed for this scenario and case:</w:t>
      </w:r>
    </w:p>
    <w:p w14:paraId="4A6BECDA" w14:textId="6D6C9FD4" w:rsidR="00F80106" w:rsidRPr="006B4412" w:rsidRDefault="00F80106" w:rsidP="00F80106">
      <w:pPr>
        <w:rPr>
          <w:b/>
          <w:bCs/>
        </w:rPr>
      </w:pPr>
      <w:r w:rsidRPr="009D3E26">
        <w:rPr>
          <w:b/>
          <w:bCs/>
          <w:lang w:val="en-US"/>
        </w:rPr>
        <w:t xml:space="preserve">Proposal </w:t>
      </w:r>
      <w:r w:rsidR="00EB0F87">
        <w:rPr>
          <w:b/>
          <w:bCs/>
          <w:lang w:val="en-US"/>
        </w:rPr>
        <w:t>2</w:t>
      </w:r>
      <w:r w:rsidR="00516180">
        <w:rPr>
          <w:b/>
          <w:bCs/>
          <w:lang w:val="en-US"/>
        </w:rPr>
        <w:t>4</w:t>
      </w:r>
      <w:r w:rsidRPr="009D3E26">
        <w:rPr>
          <w:b/>
          <w:bCs/>
          <w:lang w:val="en-US"/>
        </w:rPr>
        <w:t xml:space="preserve">: </w:t>
      </w:r>
      <w:r w:rsidRPr="006B4412">
        <w:rPr>
          <w:b/>
          <w:bCs/>
        </w:rPr>
        <w:t xml:space="preserve">The </w:t>
      </w:r>
      <w:r>
        <w:rPr>
          <w:b/>
          <w:bCs/>
        </w:rPr>
        <w:t xml:space="preserve">SBFD DL </w:t>
      </w:r>
      <w:r w:rsidRPr="006B4412">
        <w:rPr>
          <w:b/>
          <w:bCs/>
        </w:rPr>
        <w:t xml:space="preserve">performance degradation for </w:t>
      </w:r>
      <w:r>
        <w:rPr>
          <w:b/>
          <w:bCs/>
        </w:rPr>
        <w:t>Urban Hotspot Case 4</w:t>
      </w:r>
      <w:r w:rsidRPr="006B4412">
        <w:rPr>
          <w:b/>
          <w:bCs/>
        </w:rPr>
        <w:t xml:space="preserve"> is acceptable when </w:t>
      </w:r>
      <w:r>
        <w:rPr>
          <w:b/>
          <w:bCs/>
        </w:rPr>
        <w:t>TDD UL is adopted in the aggressor network.</w:t>
      </w:r>
    </w:p>
    <w:p w14:paraId="296A3679" w14:textId="7B3C721C" w:rsidR="00F80106" w:rsidRPr="006806CE" w:rsidRDefault="00F80106" w:rsidP="00F80106">
      <w:r w:rsidRPr="009D3E26">
        <w:rPr>
          <w:b/>
          <w:bCs/>
          <w:lang w:val="en-US"/>
        </w:rPr>
        <w:t xml:space="preserve">Proposal </w:t>
      </w:r>
      <w:r w:rsidR="00EB0F87">
        <w:rPr>
          <w:b/>
          <w:bCs/>
          <w:lang w:val="en-US"/>
        </w:rPr>
        <w:t>2</w:t>
      </w:r>
      <w:r w:rsidR="00516180">
        <w:rPr>
          <w:b/>
          <w:bCs/>
          <w:lang w:val="en-US"/>
        </w:rPr>
        <w:t>5</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w:t>
      </w:r>
      <w:r>
        <w:rPr>
          <w:b/>
          <w:bCs/>
        </w:rPr>
        <w:t>Urban Hotspot Case 4</w:t>
      </w:r>
      <w:r w:rsidRPr="006B4412">
        <w:rPr>
          <w:b/>
          <w:bCs/>
        </w:rPr>
        <w:t xml:space="preserve"> is acceptable when </w:t>
      </w:r>
      <w:r>
        <w:rPr>
          <w:b/>
          <w:bCs/>
        </w:rPr>
        <w:t>TDD UL is adopted in the aggressor network.</w:t>
      </w:r>
    </w:p>
    <w:p w14:paraId="0056485C" w14:textId="77777777" w:rsidR="00F80106" w:rsidRPr="00F168CB" w:rsidRDefault="00F80106" w:rsidP="00B334F7">
      <w:pPr>
        <w:rPr>
          <w:lang w:val="en-US"/>
        </w:rPr>
      </w:pPr>
    </w:p>
    <w:p w14:paraId="28ABEED4" w14:textId="55DA70C6" w:rsidR="00E913B6" w:rsidRDefault="00E913B6" w:rsidP="00E913B6">
      <w:pPr>
        <w:pStyle w:val="Heading4"/>
        <w:ind w:left="0" w:firstLine="0"/>
        <w:rPr>
          <w:lang w:val="en-US"/>
        </w:rPr>
      </w:pPr>
      <w:r w:rsidRPr="00B334F7">
        <w:rPr>
          <w:lang w:val="en-US"/>
        </w:rPr>
        <w:t>3.2.3 Scenario 4: FR1 UMa-to-UMi</w:t>
      </w:r>
    </w:p>
    <w:p w14:paraId="7A0C36FD" w14:textId="2EDA6DE4" w:rsidR="009E6BE7" w:rsidRDefault="00DA0433" w:rsidP="00B334F7">
      <w:r>
        <w:rPr>
          <w:lang w:val="en-US"/>
        </w:rPr>
        <w:fldChar w:fldCharType="begin"/>
      </w:r>
      <w:r>
        <w:rPr>
          <w:lang w:val="en-US"/>
        </w:rPr>
        <w:instrText xml:space="preserve"> REF _Ref146724371 \h </w:instrText>
      </w:r>
      <w:r>
        <w:rPr>
          <w:lang w:val="en-US"/>
        </w:rPr>
      </w:r>
      <w:r>
        <w:rPr>
          <w:lang w:val="en-US"/>
        </w:rPr>
        <w:fldChar w:fldCharType="separate"/>
      </w:r>
      <w:r w:rsidR="004D336C">
        <w:t xml:space="preserve">Figure </w:t>
      </w:r>
      <w:r w:rsidR="004D336C">
        <w:rPr>
          <w:noProof/>
        </w:rPr>
        <w:t>18</w:t>
      </w:r>
      <w:r>
        <w:rPr>
          <w:lang w:val="en-US"/>
        </w:rPr>
        <w:fldChar w:fldCharType="end"/>
      </w:r>
      <w:r>
        <w:rPr>
          <w:lang w:val="en-US"/>
        </w:rPr>
        <w:t xml:space="preserve"> </w:t>
      </w:r>
      <w:r w:rsidR="009E6BE7">
        <w:rPr>
          <w:lang w:val="en-US"/>
        </w:rPr>
        <w:t xml:space="preserve">shows the </w:t>
      </w:r>
      <w:r w:rsidR="00887EAA">
        <w:rPr>
          <w:lang w:val="en-US"/>
        </w:rPr>
        <w:t>D</w:t>
      </w:r>
      <w:r w:rsidR="009E6BE7">
        <w:rPr>
          <w:lang w:val="en-US"/>
        </w:rPr>
        <w:t xml:space="preserve">L performance of SBFD when there is no aggressor network and when SBFD coexists with TDD </w:t>
      </w:r>
      <w:r w:rsidR="00887EAA">
        <w:rPr>
          <w:lang w:val="en-US"/>
        </w:rPr>
        <w:t>U</w:t>
      </w:r>
      <w:r w:rsidR="009E6BE7">
        <w:rPr>
          <w:lang w:val="en-US"/>
        </w:rPr>
        <w:t xml:space="preserve">L. </w:t>
      </w:r>
      <w:r w:rsidR="004445A9">
        <w:rPr>
          <w:lang w:val="en-US"/>
        </w:rPr>
        <w:t>At the average, the presence of TDD UL on the adjacent channel does not impose a major challenge for SBFD since the throughput is quite stable.</w:t>
      </w:r>
    </w:p>
    <w:p w14:paraId="2AB8F749" w14:textId="4B1A28C7" w:rsidR="00FE4BFB" w:rsidRDefault="00F733A0" w:rsidP="00FE4BFB">
      <w:pPr>
        <w:keepNext/>
        <w:jc w:val="center"/>
      </w:pPr>
      <w:r w:rsidRPr="00F733A0">
        <w:rPr>
          <w:noProof/>
        </w:rPr>
        <w:drawing>
          <wp:inline distT="0" distB="0" distL="0" distR="0" wp14:anchorId="0D280DCD" wp14:editId="43DB6467">
            <wp:extent cx="5184654" cy="4026477"/>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rotWithShape="1">
                    <a:blip r:embed="rId30">
                      <a:extLst>
                        <a:ext uri="{28A0092B-C50C-407E-A947-70E740481C1C}">
                          <a14:useLocalDpi xmlns:a14="http://schemas.microsoft.com/office/drawing/2010/main" val="0"/>
                        </a:ext>
                      </a:extLst>
                    </a:blip>
                    <a:srcRect l="7532" t="1458" r="7824" b="5821"/>
                    <a:stretch/>
                  </pic:blipFill>
                  <pic:spPr bwMode="auto">
                    <a:xfrm>
                      <a:off x="0" y="0"/>
                      <a:ext cx="5199130" cy="4037720"/>
                    </a:xfrm>
                    <a:prstGeom prst="rect">
                      <a:avLst/>
                    </a:prstGeom>
                    <a:noFill/>
                    <a:ln>
                      <a:noFill/>
                    </a:ln>
                    <a:extLst>
                      <a:ext uri="{53640926-AAD7-44D8-BBD7-CCE9431645EC}">
                        <a14:shadowObscured xmlns:a14="http://schemas.microsoft.com/office/drawing/2010/main"/>
                      </a:ext>
                    </a:extLst>
                  </pic:spPr>
                </pic:pic>
              </a:graphicData>
            </a:graphic>
          </wp:inline>
        </w:drawing>
      </w:r>
    </w:p>
    <w:p w14:paraId="44183D5A" w14:textId="71E207F6" w:rsidR="00FE4BFB" w:rsidRDefault="00FE4BFB" w:rsidP="00B334F7">
      <w:pPr>
        <w:pStyle w:val="Caption"/>
        <w:jc w:val="center"/>
      </w:pPr>
      <w:bookmarkStart w:id="48" w:name="_Ref146724371"/>
      <w:r>
        <w:t xml:space="preserve">Figure </w:t>
      </w:r>
      <w:r>
        <w:fldChar w:fldCharType="begin"/>
      </w:r>
      <w:r>
        <w:instrText xml:space="preserve"> SEQ Figure \* ARABIC </w:instrText>
      </w:r>
      <w:r>
        <w:fldChar w:fldCharType="separate"/>
      </w:r>
      <w:r w:rsidR="004D336C">
        <w:rPr>
          <w:noProof/>
        </w:rPr>
        <w:t>18</w:t>
      </w:r>
      <w:r>
        <w:fldChar w:fldCharType="end"/>
      </w:r>
      <w:bookmarkEnd w:id="48"/>
      <w:r>
        <w:t>. Comparison of UL SINR and UL throughput for Case 4 UMa-to-UMi scenario</w:t>
      </w:r>
    </w:p>
    <w:p w14:paraId="05B27BB2" w14:textId="77777777" w:rsidR="009B6951" w:rsidRDefault="009B6951" w:rsidP="009E6BE7">
      <w:pPr>
        <w:rPr>
          <w:lang w:val="en-US"/>
        </w:rPr>
      </w:pPr>
    </w:p>
    <w:p w14:paraId="3A0F1658" w14:textId="3F3B1E8E" w:rsidR="00EF46DB" w:rsidRDefault="00EF46DB" w:rsidP="00EF46DB">
      <w:pPr>
        <w:rPr>
          <w:lang w:val="en-US"/>
        </w:rPr>
      </w:pPr>
      <w:r>
        <w:rPr>
          <w:lang w:val="en-US"/>
        </w:rPr>
        <w:fldChar w:fldCharType="begin"/>
      </w:r>
      <w:r>
        <w:rPr>
          <w:lang w:val="en-US"/>
        </w:rPr>
        <w:instrText xml:space="preserve"> REF _Ref146744645 \h </w:instrText>
      </w:r>
      <w:r>
        <w:rPr>
          <w:lang w:val="en-US"/>
        </w:rPr>
      </w:r>
      <w:r>
        <w:rPr>
          <w:lang w:val="en-US"/>
        </w:rPr>
        <w:fldChar w:fldCharType="separate"/>
      </w:r>
      <w:r w:rsidR="004D336C">
        <w:t xml:space="preserve">Table </w:t>
      </w:r>
      <w:r w:rsidR="004D336C">
        <w:rPr>
          <w:noProof/>
        </w:rPr>
        <w:t>18</w:t>
      </w:r>
      <w:r>
        <w:rPr>
          <w:lang w:val="en-US"/>
        </w:rPr>
        <w:fldChar w:fldCharType="end"/>
      </w:r>
      <w:r>
        <w:rPr>
          <w:lang w:val="en-US"/>
        </w:rPr>
        <w:t xml:space="preserve"> </w:t>
      </w:r>
      <w:r>
        <w:rPr>
          <w:lang w:val="en-US"/>
        </w:rPr>
        <w:t>includes the coexistence performance of SBFD in both DL and UL when TDD UL acts as the aggressor network. The table includes different grid offsets and highlights the throughput degradation values above 5%. From the table we conclude that the SBFD operation is barely affected by the presence of an adjacent channel operating in TDD UL. The reasons for this are that the UE-to-BS for the SBFD UL and UE-to-UE ACI for the SBFD DL are quite low.</w:t>
      </w:r>
    </w:p>
    <w:p w14:paraId="619A24D6" w14:textId="77777777" w:rsidR="001D113C" w:rsidRDefault="001D113C" w:rsidP="00EF46DB">
      <w:pPr>
        <w:rPr>
          <w:lang w:val="en-US"/>
        </w:rPr>
      </w:pPr>
    </w:p>
    <w:p w14:paraId="39474D1F" w14:textId="77777777" w:rsidR="001D113C" w:rsidRDefault="001D113C" w:rsidP="00EF46DB">
      <w:pPr>
        <w:rPr>
          <w:lang w:val="en-US"/>
        </w:rPr>
      </w:pPr>
    </w:p>
    <w:p w14:paraId="3078A220" w14:textId="64D9EDA4" w:rsidR="007E0AFE" w:rsidRDefault="007E0AFE" w:rsidP="00B334F7">
      <w:pPr>
        <w:pStyle w:val="Caption"/>
        <w:keepNext/>
      </w:pPr>
      <w:bookmarkStart w:id="49" w:name="_Ref146744641"/>
      <w:bookmarkStart w:id="50" w:name="_Ref146744645"/>
      <w:r>
        <w:lastRenderedPageBreak/>
        <w:t xml:space="preserve">Table </w:t>
      </w:r>
      <w:r>
        <w:fldChar w:fldCharType="begin"/>
      </w:r>
      <w:r>
        <w:instrText xml:space="preserve"> SEQ Table \* ARABIC </w:instrText>
      </w:r>
      <w:r>
        <w:fldChar w:fldCharType="separate"/>
      </w:r>
      <w:r w:rsidR="004D336C">
        <w:rPr>
          <w:noProof/>
        </w:rPr>
        <w:t>18</w:t>
      </w:r>
      <w:r>
        <w:fldChar w:fldCharType="end"/>
      </w:r>
      <w:bookmarkEnd w:id="50"/>
      <w:r>
        <w:t xml:space="preserve">. </w:t>
      </w:r>
      <w:r>
        <w:t>Performance summary for Case 4 UM</w:t>
      </w:r>
      <w:r>
        <w:t>a</w:t>
      </w:r>
      <w:r>
        <w:t>-to-UMi scenario</w:t>
      </w:r>
      <w:bookmarkEnd w:id="49"/>
    </w:p>
    <w:tbl>
      <w:tblPr>
        <w:tblW w:w="10074" w:type="dxa"/>
        <w:tblLook w:val="04A0" w:firstRow="1" w:lastRow="0" w:firstColumn="1" w:lastColumn="0" w:noHBand="0" w:noVBand="1"/>
      </w:tblPr>
      <w:tblGrid>
        <w:gridCol w:w="879"/>
        <w:gridCol w:w="913"/>
        <w:gridCol w:w="889"/>
        <w:gridCol w:w="1141"/>
        <w:gridCol w:w="889"/>
        <w:gridCol w:w="900"/>
        <w:gridCol w:w="913"/>
        <w:gridCol w:w="887"/>
        <w:gridCol w:w="883"/>
        <w:gridCol w:w="892"/>
        <w:gridCol w:w="880"/>
        <w:gridCol w:w="8"/>
      </w:tblGrid>
      <w:tr w:rsidR="007E0AFE" w:rsidRPr="007E0AFE" w14:paraId="7D9A8DEA" w14:textId="77777777" w:rsidTr="00B334F7">
        <w:trPr>
          <w:trHeight w:val="248"/>
        </w:trPr>
        <w:tc>
          <w:tcPr>
            <w:tcW w:w="10074"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464E464"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4: FR1 UMa-to-UMi</w:t>
            </w:r>
            <w:r w:rsidRPr="00B334F7">
              <w:rPr>
                <w:rFonts w:ascii="Times New Roman" w:eastAsia="Times New Roman" w:hAnsi="Times New Roman" w:cs="Times New Roman"/>
                <w:b/>
                <w:bCs/>
                <w:sz w:val="16"/>
                <w:szCs w:val="16"/>
                <w:lang w:val="en-US"/>
              </w:rPr>
              <w:br/>
              <w:t>Case 4: SBFD as victim with TDD UL as aggressor</w:t>
            </w:r>
          </w:p>
        </w:tc>
      </w:tr>
      <w:tr w:rsidR="007E0AFE" w:rsidRPr="00B334F7" w14:paraId="1BC6705F" w14:textId="77777777" w:rsidTr="00B334F7">
        <w:trPr>
          <w:gridAfter w:val="1"/>
          <w:wAfter w:w="7" w:type="dxa"/>
          <w:trHeight w:val="236"/>
        </w:trPr>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2D43560D"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0B48F6EF"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91" w:type="dxa"/>
            <w:vMerge w:val="restart"/>
            <w:tcBorders>
              <w:top w:val="nil"/>
              <w:left w:val="single" w:sz="4" w:space="0" w:color="auto"/>
              <w:bottom w:val="single" w:sz="4" w:space="0" w:color="auto"/>
              <w:right w:val="single" w:sz="4" w:space="0" w:color="auto"/>
            </w:tcBorders>
            <w:shd w:val="clear" w:color="auto" w:fill="auto"/>
            <w:vAlign w:val="center"/>
            <w:hideMark/>
          </w:tcPr>
          <w:p w14:paraId="0935E9DF"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7459C894"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91" w:type="dxa"/>
            <w:vMerge w:val="restart"/>
            <w:tcBorders>
              <w:top w:val="nil"/>
              <w:left w:val="single" w:sz="4" w:space="0" w:color="auto"/>
              <w:bottom w:val="single" w:sz="4" w:space="0" w:color="auto"/>
              <w:right w:val="single" w:sz="4" w:space="0" w:color="auto"/>
            </w:tcBorders>
            <w:shd w:val="clear" w:color="auto" w:fill="auto"/>
            <w:vAlign w:val="center"/>
            <w:hideMark/>
          </w:tcPr>
          <w:p w14:paraId="3370DB4A"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901" w:type="dxa"/>
            <w:vMerge w:val="restart"/>
            <w:tcBorders>
              <w:top w:val="nil"/>
              <w:left w:val="single" w:sz="4" w:space="0" w:color="auto"/>
              <w:bottom w:val="single" w:sz="4" w:space="0" w:color="auto"/>
              <w:right w:val="single" w:sz="4" w:space="0" w:color="auto"/>
            </w:tcBorders>
            <w:shd w:val="clear" w:color="auto" w:fill="auto"/>
            <w:vAlign w:val="center"/>
            <w:hideMark/>
          </w:tcPr>
          <w:p w14:paraId="0B9973BD"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18F9C293"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17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AA3B9F"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7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BE21C5"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7E0AFE" w:rsidRPr="00B334F7" w14:paraId="3211C82D" w14:textId="77777777" w:rsidTr="00B334F7">
        <w:trPr>
          <w:gridAfter w:val="1"/>
          <w:wAfter w:w="7" w:type="dxa"/>
          <w:trHeight w:val="236"/>
        </w:trPr>
        <w:tc>
          <w:tcPr>
            <w:tcW w:w="882" w:type="dxa"/>
            <w:vMerge/>
            <w:tcBorders>
              <w:top w:val="nil"/>
              <w:left w:val="single" w:sz="4" w:space="0" w:color="auto"/>
              <w:bottom w:val="single" w:sz="4" w:space="0" w:color="auto"/>
              <w:right w:val="single" w:sz="4" w:space="0" w:color="auto"/>
            </w:tcBorders>
            <w:vAlign w:val="center"/>
            <w:hideMark/>
          </w:tcPr>
          <w:p w14:paraId="5D173E3E"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3" w:type="dxa"/>
            <w:vMerge/>
            <w:tcBorders>
              <w:top w:val="nil"/>
              <w:left w:val="single" w:sz="4" w:space="0" w:color="auto"/>
              <w:bottom w:val="single" w:sz="4" w:space="0" w:color="auto"/>
              <w:right w:val="single" w:sz="4" w:space="0" w:color="auto"/>
            </w:tcBorders>
            <w:vAlign w:val="center"/>
            <w:hideMark/>
          </w:tcPr>
          <w:p w14:paraId="5FBBB899"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3FA5AAE3"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34" w:type="dxa"/>
            <w:vMerge/>
            <w:tcBorders>
              <w:top w:val="nil"/>
              <w:left w:val="single" w:sz="4" w:space="0" w:color="auto"/>
              <w:bottom w:val="single" w:sz="4" w:space="0" w:color="auto"/>
              <w:right w:val="single" w:sz="4" w:space="0" w:color="auto"/>
            </w:tcBorders>
            <w:vAlign w:val="center"/>
            <w:hideMark/>
          </w:tcPr>
          <w:p w14:paraId="5199901E"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0B3ABDF2"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1" w:type="dxa"/>
            <w:vMerge/>
            <w:tcBorders>
              <w:top w:val="nil"/>
              <w:left w:val="single" w:sz="4" w:space="0" w:color="auto"/>
              <w:bottom w:val="single" w:sz="4" w:space="0" w:color="auto"/>
              <w:right w:val="single" w:sz="4" w:space="0" w:color="auto"/>
            </w:tcBorders>
            <w:vAlign w:val="center"/>
            <w:hideMark/>
          </w:tcPr>
          <w:p w14:paraId="6795A7BB"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3" w:type="dxa"/>
            <w:vMerge/>
            <w:tcBorders>
              <w:top w:val="nil"/>
              <w:left w:val="single" w:sz="4" w:space="0" w:color="auto"/>
              <w:bottom w:val="single" w:sz="4" w:space="0" w:color="auto"/>
              <w:right w:val="single" w:sz="4" w:space="0" w:color="auto"/>
            </w:tcBorders>
            <w:vAlign w:val="center"/>
            <w:hideMark/>
          </w:tcPr>
          <w:p w14:paraId="7350A153"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70" w:type="dxa"/>
            <w:gridSpan w:val="2"/>
            <w:vMerge/>
            <w:tcBorders>
              <w:top w:val="single" w:sz="4" w:space="0" w:color="auto"/>
              <w:left w:val="single" w:sz="4" w:space="0" w:color="auto"/>
              <w:bottom w:val="single" w:sz="4" w:space="0" w:color="auto"/>
              <w:right w:val="single" w:sz="4" w:space="0" w:color="auto"/>
            </w:tcBorders>
            <w:vAlign w:val="center"/>
            <w:hideMark/>
          </w:tcPr>
          <w:p w14:paraId="7749D8AC"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72" w:type="dxa"/>
            <w:gridSpan w:val="2"/>
            <w:vMerge/>
            <w:tcBorders>
              <w:top w:val="single" w:sz="4" w:space="0" w:color="auto"/>
              <w:left w:val="single" w:sz="4" w:space="0" w:color="auto"/>
              <w:bottom w:val="single" w:sz="4" w:space="0" w:color="auto"/>
              <w:right w:val="single" w:sz="4" w:space="0" w:color="auto"/>
            </w:tcBorders>
            <w:vAlign w:val="center"/>
            <w:hideMark/>
          </w:tcPr>
          <w:p w14:paraId="670A317F"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7E0AFE" w:rsidRPr="00B334F7" w14:paraId="49048012" w14:textId="77777777" w:rsidTr="00B334F7">
        <w:trPr>
          <w:gridAfter w:val="1"/>
          <w:wAfter w:w="8" w:type="dxa"/>
          <w:trHeight w:val="236"/>
        </w:trPr>
        <w:tc>
          <w:tcPr>
            <w:tcW w:w="882" w:type="dxa"/>
            <w:vMerge/>
            <w:tcBorders>
              <w:top w:val="nil"/>
              <w:left w:val="single" w:sz="4" w:space="0" w:color="auto"/>
              <w:bottom w:val="single" w:sz="4" w:space="0" w:color="auto"/>
              <w:right w:val="single" w:sz="4" w:space="0" w:color="auto"/>
            </w:tcBorders>
            <w:vAlign w:val="center"/>
            <w:hideMark/>
          </w:tcPr>
          <w:p w14:paraId="6F393B3D"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3" w:type="dxa"/>
            <w:vMerge/>
            <w:tcBorders>
              <w:top w:val="nil"/>
              <w:left w:val="single" w:sz="4" w:space="0" w:color="auto"/>
              <w:bottom w:val="single" w:sz="4" w:space="0" w:color="auto"/>
              <w:right w:val="single" w:sz="4" w:space="0" w:color="auto"/>
            </w:tcBorders>
            <w:vAlign w:val="center"/>
            <w:hideMark/>
          </w:tcPr>
          <w:p w14:paraId="01A28BA6"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53D415C7"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34" w:type="dxa"/>
            <w:vMerge/>
            <w:tcBorders>
              <w:top w:val="nil"/>
              <w:left w:val="single" w:sz="4" w:space="0" w:color="auto"/>
              <w:bottom w:val="single" w:sz="4" w:space="0" w:color="auto"/>
              <w:right w:val="single" w:sz="4" w:space="0" w:color="auto"/>
            </w:tcBorders>
            <w:vAlign w:val="center"/>
            <w:hideMark/>
          </w:tcPr>
          <w:p w14:paraId="0A544F29"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5F6D8AFE"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01" w:type="dxa"/>
            <w:vMerge/>
            <w:tcBorders>
              <w:top w:val="nil"/>
              <w:left w:val="single" w:sz="4" w:space="0" w:color="auto"/>
              <w:bottom w:val="single" w:sz="4" w:space="0" w:color="auto"/>
              <w:right w:val="single" w:sz="4" w:space="0" w:color="auto"/>
            </w:tcBorders>
            <w:vAlign w:val="center"/>
            <w:hideMark/>
          </w:tcPr>
          <w:p w14:paraId="087A2DD5"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13" w:type="dxa"/>
            <w:vMerge/>
            <w:tcBorders>
              <w:top w:val="nil"/>
              <w:left w:val="single" w:sz="4" w:space="0" w:color="auto"/>
              <w:bottom w:val="single" w:sz="4" w:space="0" w:color="auto"/>
              <w:right w:val="single" w:sz="4" w:space="0" w:color="auto"/>
            </w:tcBorders>
            <w:vAlign w:val="center"/>
            <w:hideMark/>
          </w:tcPr>
          <w:p w14:paraId="523D0C02"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87" w:type="dxa"/>
            <w:tcBorders>
              <w:top w:val="nil"/>
              <w:left w:val="nil"/>
              <w:bottom w:val="single" w:sz="4" w:space="0" w:color="auto"/>
              <w:right w:val="single" w:sz="4" w:space="0" w:color="auto"/>
            </w:tcBorders>
            <w:shd w:val="clear" w:color="auto" w:fill="auto"/>
            <w:vAlign w:val="center"/>
            <w:hideMark/>
          </w:tcPr>
          <w:p w14:paraId="0B029B72"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83" w:type="dxa"/>
            <w:tcBorders>
              <w:top w:val="nil"/>
              <w:left w:val="nil"/>
              <w:bottom w:val="single" w:sz="4" w:space="0" w:color="auto"/>
              <w:right w:val="single" w:sz="4" w:space="0" w:color="auto"/>
            </w:tcBorders>
            <w:shd w:val="clear" w:color="auto" w:fill="auto"/>
            <w:vAlign w:val="center"/>
            <w:hideMark/>
          </w:tcPr>
          <w:p w14:paraId="7E121B68"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92" w:type="dxa"/>
            <w:tcBorders>
              <w:top w:val="nil"/>
              <w:left w:val="nil"/>
              <w:bottom w:val="single" w:sz="4" w:space="0" w:color="auto"/>
              <w:right w:val="single" w:sz="4" w:space="0" w:color="auto"/>
            </w:tcBorders>
            <w:shd w:val="clear" w:color="auto" w:fill="auto"/>
            <w:vAlign w:val="center"/>
            <w:hideMark/>
          </w:tcPr>
          <w:p w14:paraId="17B2716D"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79" w:type="dxa"/>
            <w:tcBorders>
              <w:top w:val="nil"/>
              <w:left w:val="nil"/>
              <w:bottom w:val="single" w:sz="4" w:space="0" w:color="auto"/>
              <w:right w:val="single" w:sz="4" w:space="0" w:color="auto"/>
            </w:tcBorders>
            <w:shd w:val="clear" w:color="auto" w:fill="auto"/>
            <w:vAlign w:val="center"/>
            <w:hideMark/>
          </w:tcPr>
          <w:p w14:paraId="33B613D4"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7E0AFE" w:rsidRPr="00B334F7" w14:paraId="01A04A3F" w14:textId="77777777" w:rsidTr="00B334F7">
        <w:trPr>
          <w:gridAfter w:val="1"/>
          <w:wAfter w:w="8" w:type="dxa"/>
          <w:trHeight w:val="604"/>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4CB21BF6"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13" w:type="dxa"/>
            <w:vMerge w:val="restart"/>
            <w:tcBorders>
              <w:top w:val="nil"/>
              <w:left w:val="single" w:sz="4" w:space="0" w:color="auto"/>
              <w:bottom w:val="single" w:sz="4" w:space="0" w:color="000000"/>
              <w:right w:val="single" w:sz="4" w:space="0" w:color="auto"/>
            </w:tcBorders>
            <w:shd w:val="clear" w:color="auto" w:fill="auto"/>
            <w:vAlign w:val="center"/>
            <w:hideMark/>
          </w:tcPr>
          <w:p w14:paraId="67E79C02"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UL</w:t>
            </w:r>
          </w:p>
        </w:tc>
        <w:tc>
          <w:tcPr>
            <w:tcW w:w="891" w:type="dxa"/>
            <w:vMerge w:val="restart"/>
            <w:tcBorders>
              <w:top w:val="nil"/>
              <w:left w:val="single" w:sz="4" w:space="0" w:color="auto"/>
              <w:bottom w:val="single" w:sz="4" w:space="0" w:color="auto"/>
              <w:right w:val="single" w:sz="4" w:space="0" w:color="auto"/>
            </w:tcBorders>
            <w:shd w:val="clear" w:color="auto" w:fill="auto"/>
            <w:vAlign w:val="center"/>
            <w:hideMark/>
          </w:tcPr>
          <w:p w14:paraId="3B58EB4B"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DL</w:t>
            </w:r>
          </w:p>
        </w:tc>
        <w:tc>
          <w:tcPr>
            <w:tcW w:w="1134" w:type="dxa"/>
            <w:tcBorders>
              <w:top w:val="nil"/>
              <w:left w:val="nil"/>
              <w:bottom w:val="single" w:sz="4" w:space="0" w:color="auto"/>
              <w:right w:val="single" w:sz="4" w:space="0" w:color="auto"/>
            </w:tcBorders>
            <w:shd w:val="clear" w:color="auto" w:fill="auto"/>
            <w:vAlign w:val="center"/>
            <w:hideMark/>
          </w:tcPr>
          <w:p w14:paraId="5D476BAB"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91" w:type="dxa"/>
            <w:vMerge w:val="restart"/>
            <w:tcBorders>
              <w:top w:val="nil"/>
              <w:left w:val="single" w:sz="4" w:space="0" w:color="auto"/>
              <w:bottom w:val="single" w:sz="4" w:space="0" w:color="auto"/>
              <w:right w:val="single" w:sz="4" w:space="0" w:color="auto"/>
            </w:tcBorders>
            <w:shd w:val="clear" w:color="auto" w:fill="auto"/>
            <w:vAlign w:val="center"/>
            <w:hideMark/>
          </w:tcPr>
          <w:p w14:paraId="17FA6DA5"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50 dBm</w:t>
            </w:r>
          </w:p>
        </w:tc>
        <w:tc>
          <w:tcPr>
            <w:tcW w:w="901" w:type="dxa"/>
            <w:vMerge w:val="restart"/>
            <w:tcBorders>
              <w:top w:val="nil"/>
              <w:left w:val="single" w:sz="4" w:space="0" w:color="auto"/>
              <w:bottom w:val="single" w:sz="4" w:space="0" w:color="auto"/>
              <w:right w:val="single" w:sz="4" w:space="0" w:color="auto"/>
            </w:tcBorders>
            <w:shd w:val="clear" w:color="auto" w:fill="auto"/>
            <w:vAlign w:val="center"/>
            <w:hideMark/>
          </w:tcPr>
          <w:p w14:paraId="7D4D0357"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Enabled, without sub-band filtering</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0E862DD9"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N/A</w:t>
            </w:r>
          </w:p>
        </w:tc>
        <w:tc>
          <w:tcPr>
            <w:tcW w:w="887" w:type="dxa"/>
            <w:tcBorders>
              <w:top w:val="nil"/>
              <w:left w:val="nil"/>
              <w:bottom w:val="single" w:sz="4" w:space="0" w:color="auto"/>
              <w:right w:val="single" w:sz="4" w:space="0" w:color="auto"/>
            </w:tcBorders>
            <w:shd w:val="clear" w:color="auto" w:fill="auto"/>
            <w:noWrap/>
            <w:vAlign w:val="center"/>
            <w:hideMark/>
          </w:tcPr>
          <w:p w14:paraId="4C99A071"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-0.71</w:t>
            </w:r>
          </w:p>
        </w:tc>
        <w:tc>
          <w:tcPr>
            <w:tcW w:w="883" w:type="dxa"/>
            <w:tcBorders>
              <w:top w:val="nil"/>
              <w:left w:val="nil"/>
              <w:bottom w:val="single" w:sz="4" w:space="0" w:color="auto"/>
              <w:right w:val="single" w:sz="4" w:space="0" w:color="auto"/>
            </w:tcBorders>
            <w:shd w:val="clear" w:color="auto" w:fill="auto"/>
            <w:noWrap/>
            <w:vAlign w:val="center"/>
            <w:hideMark/>
          </w:tcPr>
          <w:p w14:paraId="3CACFB3F"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0.01</w:t>
            </w:r>
          </w:p>
        </w:tc>
        <w:tc>
          <w:tcPr>
            <w:tcW w:w="892" w:type="dxa"/>
            <w:tcBorders>
              <w:top w:val="nil"/>
              <w:left w:val="nil"/>
              <w:bottom w:val="single" w:sz="4" w:space="0" w:color="auto"/>
              <w:right w:val="single" w:sz="4" w:space="0" w:color="auto"/>
            </w:tcBorders>
            <w:shd w:val="clear" w:color="auto" w:fill="auto"/>
            <w:noWrap/>
            <w:vAlign w:val="center"/>
            <w:hideMark/>
          </w:tcPr>
          <w:p w14:paraId="532F84D0"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-14.87</w:t>
            </w:r>
          </w:p>
        </w:tc>
        <w:tc>
          <w:tcPr>
            <w:tcW w:w="879" w:type="dxa"/>
            <w:tcBorders>
              <w:top w:val="nil"/>
              <w:left w:val="nil"/>
              <w:bottom w:val="single" w:sz="4" w:space="0" w:color="auto"/>
              <w:right w:val="single" w:sz="4" w:space="0" w:color="auto"/>
            </w:tcBorders>
            <w:shd w:val="clear" w:color="auto" w:fill="auto"/>
            <w:noWrap/>
            <w:vAlign w:val="center"/>
            <w:hideMark/>
          </w:tcPr>
          <w:p w14:paraId="6107131A"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1.96</w:t>
            </w:r>
          </w:p>
        </w:tc>
      </w:tr>
      <w:tr w:rsidR="007E0AFE" w:rsidRPr="00B334F7" w14:paraId="418829CE" w14:textId="77777777" w:rsidTr="00B334F7">
        <w:trPr>
          <w:gridAfter w:val="1"/>
          <w:wAfter w:w="8" w:type="dxa"/>
          <w:trHeight w:val="604"/>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7D4D0828"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13" w:type="dxa"/>
            <w:vMerge/>
            <w:tcBorders>
              <w:top w:val="nil"/>
              <w:left w:val="single" w:sz="4" w:space="0" w:color="auto"/>
              <w:bottom w:val="single" w:sz="4" w:space="0" w:color="000000"/>
              <w:right w:val="single" w:sz="4" w:space="0" w:color="auto"/>
            </w:tcBorders>
            <w:vAlign w:val="center"/>
            <w:hideMark/>
          </w:tcPr>
          <w:p w14:paraId="0F3EEC5C"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7BFE2DCE"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4" w:type="dxa"/>
            <w:tcBorders>
              <w:top w:val="nil"/>
              <w:left w:val="nil"/>
              <w:bottom w:val="single" w:sz="4" w:space="0" w:color="auto"/>
              <w:right w:val="single" w:sz="4" w:space="0" w:color="auto"/>
            </w:tcBorders>
            <w:shd w:val="clear" w:color="auto" w:fill="auto"/>
            <w:vAlign w:val="center"/>
            <w:hideMark/>
          </w:tcPr>
          <w:p w14:paraId="6130345D"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91" w:type="dxa"/>
            <w:vMerge/>
            <w:tcBorders>
              <w:top w:val="nil"/>
              <w:left w:val="single" w:sz="4" w:space="0" w:color="auto"/>
              <w:bottom w:val="single" w:sz="4" w:space="0" w:color="auto"/>
              <w:right w:val="single" w:sz="4" w:space="0" w:color="auto"/>
            </w:tcBorders>
            <w:vAlign w:val="center"/>
            <w:hideMark/>
          </w:tcPr>
          <w:p w14:paraId="1155CFCB"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1" w:type="dxa"/>
            <w:vMerge/>
            <w:tcBorders>
              <w:top w:val="nil"/>
              <w:left w:val="single" w:sz="4" w:space="0" w:color="auto"/>
              <w:bottom w:val="single" w:sz="4" w:space="0" w:color="auto"/>
              <w:right w:val="single" w:sz="4" w:space="0" w:color="auto"/>
            </w:tcBorders>
            <w:vAlign w:val="center"/>
            <w:hideMark/>
          </w:tcPr>
          <w:p w14:paraId="241169D4"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3" w:type="dxa"/>
            <w:vMerge/>
            <w:tcBorders>
              <w:top w:val="nil"/>
              <w:left w:val="single" w:sz="4" w:space="0" w:color="auto"/>
              <w:bottom w:val="single" w:sz="4" w:space="0" w:color="auto"/>
              <w:right w:val="single" w:sz="4" w:space="0" w:color="auto"/>
            </w:tcBorders>
            <w:vAlign w:val="center"/>
            <w:hideMark/>
          </w:tcPr>
          <w:p w14:paraId="4B159DA4"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nil"/>
              <w:bottom w:val="single" w:sz="4" w:space="0" w:color="auto"/>
              <w:right w:val="single" w:sz="4" w:space="0" w:color="auto"/>
            </w:tcBorders>
            <w:shd w:val="clear" w:color="auto" w:fill="auto"/>
            <w:noWrap/>
            <w:vAlign w:val="center"/>
            <w:hideMark/>
          </w:tcPr>
          <w:p w14:paraId="174D7C30"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-0.02</w:t>
            </w:r>
          </w:p>
        </w:tc>
        <w:tc>
          <w:tcPr>
            <w:tcW w:w="883" w:type="dxa"/>
            <w:tcBorders>
              <w:top w:val="nil"/>
              <w:left w:val="nil"/>
              <w:bottom w:val="single" w:sz="4" w:space="0" w:color="auto"/>
              <w:right w:val="single" w:sz="4" w:space="0" w:color="auto"/>
            </w:tcBorders>
            <w:shd w:val="clear" w:color="auto" w:fill="auto"/>
            <w:noWrap/>
            <w:vAlign w:val="center"/>
            <w:hideMark/>
          </w:tcPr>
          <w:p w14:paraId="12A20E97"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-0.02</w:t>
            </w:r>
          </w:p>
        </w:tc>
        <w:tc>
          <w:tcPr>
            <w:tcW w:w="892" w:type="dxa"/>
            <w:tcBorders>
              <w:top w:val="nil"/>
              <w:left w:val="nil"/>
              <w:bottom w:val="single" w:sz="4" w:space="0" w:color="auto"/>
              <w:right w:val="single" w:sz="4" w:space="0" w:color="auto"/>
            </w:tcBorders>
            <w:shd w:val="clear" w:color="auto" w:fill="auto"/>
            <w:noWrap/>
            <w:vAlign w:val="center"/>
            <w:hideMark/>
          </w:tcPr>
          <w:p w14:paraId="6E165F77"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-0.37</w:t>
            </w:r>
          </w:p>
        </w:tc>
        <w:tc>
          <w:tcPr>
            <w:tcW w:w="879" w:type="dxa"/>
            <w:tcBorders>
              <w:top w:val="nil"/>
              <w:left w:val="nil"/>
              <w:bottom w:val="single" w:sz="4" w:space="0" w:color="auto"/>
              <w:right w:val="single" w:sz="4" w:space="0" w:color="auto"/>
            </w:tcBorders>
            <w:shd w:val="clear" w:color="auto" w:fill="auto"/>
            <w:noWrap/>
            <w:vAlign w:val="center"/>
            <w:hideMark/>
          </w:tcPr>
          <w:p w14:paraId="6B59434D"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1.96</w:t>
            </w:r>
          </w:p>
        </w:tc>
      </w:tr>
      <w:tr w:rsidR="007E0AFE" w:rsidRPr="00B334F7" w14:paraId="4B9BD0F2" w14:textId="77777777" w:rsidTr="00B334F7">
        <w:trPr>
          <w:gridAfter w:val="1"/>
          <w:wAfter w:w="8" w:type="dxa"/>
          <w:trHeight w:val="604"/>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1FB89E5A"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13" w:type="dxa"/>
            <w:vMerge/>
            <w:tcBorders>
              <w:top w:val="nil"/>
              <w:left w:val="single" w:sz="4" w:space="0" w:color="auto"/>
              <w:bottom w:val="single" w:sz="4" w:space="0" w:color="000000"/>
              <w:right w:val="single" w:sz="4" w:space="0" w:color="auto"/>
            </w:tcBorders>
            <w:vAlign w:val="center"/>
            <w:hideMark/>
          </w:tcPr>
          <w:p w14:paraId="089FA65C"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vMerge w:val="restart"/>
            <w:tcBorders>
              <w:top w:val="nil"/>
              <w:left w:val="single" w:sz="4" w:space="0" w:color="auto"/>
              <w:bottom w:val="single" w:sz="4" w:space="0" w:color="auto"/>
              <w:right w:val="single" w:sz="4" w:space="0" w:color="auto"/>
            </w:tcBorders>
            <w:shd w:val="clear" w:color="auto" w:fill="auto"/>
            <w:vAlign w:val="center"/>
            <w:hideMark/>
          </w:tcPr>
          <w:p w14:paraId="6FBDCBB8"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UL</w:t>
            </w:r>
          </w:p>
        </w:tc>
        <w:tc>
          <w:tcPr>
            <w:tcW w:w="1134" w:type="dxa"/>
            <w:tcBorders>
              <w:top w:val="nil"/>
              <w:left w:val="nil"/>
              <w:bottom w:val="single" w:sz="4" w:space="0" w:color="auto"/>
              <w:right w:val="single" w:sz="4" w:space="0" w:color="auto"/>
            </w:tcBorders>
            <w:shd w:val="clear" w:color="auto" w:fill="auto"/>
            <w:vAlign w:val="center"/>
            <w:hideMark/>
          </w:tcPr>
          <w:p w14:paraId="5F3D49CD"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91" w:type="dxa"/>
            <w:vMerge/>
            <w:tcBorders>
              <w:top w:val="nil"/>
              <w:left w:val="single" w:sz="4" w:space="0" w:color="auto"/>
              <w:bottom w:val="single" w:sz="4" w:space="0" w:color="auto"/>
              <w:right w:val="single" w:sz="4" w:space="0" w:color="auto"/>
            </w:tcBorders>
            <w:vAlign w:val="center"/>
            <w:hideMark/>
          </w:tcPr>
          <w:p w14:paraId="4D453655"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1" w:type="dxa"/>
            <w:vMerge/>
            <w:tcBorders>
              <w:top w:val="nil"/>
              <w:left w:val="single" w:sz="4" w:space="0" w:color="auto"/>
              <w:bottom w:val="single" w:sz="4" w:space="0" w:color="auto"/>
              <w:right w:val="single" w:sz="4" w:space="0" w:color="auto"/>
            </w:tcBorders>
            <w:vAlign w:val="center"/>
            <w:hideMark/>
          </w:tcPr>
          <w:p w14:paraId="73423431"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3" w:type="dxa"/>
            <w:vMerge/>
            <w:tcBorders>
              <w:top w:val="nil"/>
              <w:left w:val="single" w:sz="4" w:space="0" w:color="auto"/>
              <w:bottom w:val="single" w:sz="4" w:space="0" w:color="auto"/>
              <w:right w:val="single" w:sz="4" w:space="0" w:color="auto"/>
            </w:tcBorders>
            <w:vAlign w:val="center"/>
            <w:hideMark/>
          </w:tcPr>
          <w:p w14:paraId="4DD9296C"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nil"/>
              <w:bottom w:val="single" w:sz="4" w:space="0" w:color="auto"/>
              <w:right w:val="single" w:sz="4" w:space="0" w:color="auto"/>
            </w:tcBorders>
            <w:shd w:val="clear" w:color="auto" w:fill="auto"/>
            <w:noWrap/>
            <w:vAlign w:val="center"/>
            <w:hideMark/>
          </w:tcPr>
          <w:p w14:paraId="1F16E42F"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2.59</w:t>
            </w:r>
          </w:p>
        </w:tc>
        <w:tc>
          <w:tcPr>
            <w:tcW w:w="883" w:type="dxa"/>
            <w:tcBorders>
              <w:top w:val="nil"/>
              <w:left w:val="nil"/>
              <w:bottom w:val="single" w:sz="4" w:space="0" w:color="auto"/>
              <w:right w:val="single" w:sz="4" w:space="0" w:color="auto"/>
            </w:tcBorders>
            <w:shd w:val="clear" w:color="auto" w:fill="auto"/>
            <w:noWrap/>
            <w:vAlign w:val="center"/>
            <w:hideMark/>
          </w:tcPr>
          <w:p w14:paraId="4C3CB1A5"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w:t>
            </w:r>
          </w:p>
        </w:tc>
        <w:tc>
          <w:tcPr>
            <w:tcW w:w="892"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F77E739"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79" w:type="dxa"/>
            <w:tcBorders>
              <w:top w:val="nil"/>
              <w:left w:val="nil"/>
              <w:bottom w:val="single" w:sz="4" w:space="0" w:color="auto"/>
              <w:right w:val="single" w:sz="4" w:space="0" w:color="auto"/>
            </w:tcBorders>
            <w:shd w:val="clear" w:color="auto" w:fill="auto"/>
            <w:noWrap/>
            <w:vAlign w:val="center"/>
            <w:hideMark/>
          </w:tcPr>
          <w:p w14:paraId="45EE5F35"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4.04</w:t>
            </w:r>
          </w:p>
        </w:tc>
      </w:tr>
      <w:tr w:rsidR="007E0AFE" w:rsidRPr="00B334F7" w14:paraId="7A861A45" w14:textId="77777777" w:rsidTr="00B334F7">
        <w:trPr>
          <w:gridAfter w:val="1"/>
          <w:wAfter w:w="8" w:type="dxa"/>
          <w:trHeight w:val="604"/>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33ABA3B7"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13" w:type="dxa"/>
            <w:vMerge/>
            <w:tcBorders>
              <w:top w:val="nil"/>
              <w:left w:val="single" w:sz="4" w:space="0" w:color="auto"/>
              <w:bottom w:val="single" w:sz="4" w:space="0" w:color="000000"/>
              <w:right w:val="single" w:sz="4" w:space="0" w:color="auto"/>
            </w:tcBorders>
            <w:vAlign w:val="center"/>
            <w:hideMark/>
          </w:tcPr>
          <w:p w14:paraId="5AB4681D"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560B090F"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4" w:type="dxa"/>
            <w:tcBorders>
              <w:top w:val="nil"/>
              <w:left w:val="nil"/>
              <w:bottom w:val="single" w:sz="4" w:space="0" w:color="auto"/>
              <w:right w:val="single" w:sz="4" w:space="0" w:color="auto"/>
            </w:tcBorders>
            <w:shd w:val="clear" w:color="auto" w:fill="auto"/>
            <w:vAlign w:val="center"/>
            <w:hideMark/>
          </w:tcPr>
          <w:p w14:paraId="00676D34"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1 (same size)</w:t>
            </w:r>
          </w:p>
        </w:tc>
        <w:tc>
          <w:tcPr>
            <w:tcW w:w="891" w:type="dxa"/>
            <w:vMerge/>
            <w:tcBorders>
              <w:top w:val="nil"/>
              <w:left w:val="single" w:sz="4" w:space="0" w:color="auto"/>
              <w:bottom w:val="single" w:sz="4" w:space="0" w:color="auto"/>
              <w:right w:val="single" w:sz="4" w:space="0" w:color="auto"/>
            </w:tcBorders>
            <w:vAlign w:val="center"/>
            <w:hideMark/>
          </w:tcPr>
          <w:p w14:paraId="1AD514D2"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1" w:type="dxa"/>
            <w:vMerge/>
            <w:tcBorders>
              <w:top w:val="nil"/>
              <w:left w:val="single" w:sz="4" w:space="0" w:color="auto"/>
              <w:bottom w:val="single" w:sz="4" w:space="0" w:color="auto"/>
              <w:right w:val="single" w:sz="4" w:space="0" w:color="auto"/>
            </w:tcBorders>
            <w:vAlign w:val="center"/>
            <w:hideMark/>
          </w:tcPr>
          <w:p w14:paraId="7B8C8737"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3" w:type="dxa"/>
            <w:vMerge/>
            <w:tcBorders>
              <w:top w:val="nil"/>
              <w:left w:val="single" w:sz="4" w:space="0" w:color="auto"/>
              <w:bottom w:val="single" w:sz="4" w:space="0" w:color="auto"/>
              <w:right w:val="single" w:sz="4" w:space="0" w:color="auto"/>
            </w:tcBorders>
            <w:vAlign w:val="center"/>
            <w:hideMark/>
          </w:tcPr>
          <w:p w14:paraId="592C49C8"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nil"/>
              <w:bottom w:val="single" w:sz="4" w:space="0" w:color="auto"/>
              <w:right w:val="single" w:sz="4" w:space="0" w:color="auto"/>
            </w:tcBorders>
            <w:shd w:val="clear" w:color="auto" w:fill="auto"/>
            <w:noWrap/>
            <w:vAlign w:val="center"/>
            <w:hideMark/>
          </w:tcPr>
          <w:p w14:paraId="131760CA"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7.58</w:t>
            </w:r>
          </w:p>
        </w:tc>
        <w:tc>
          <w:tcPr>
            <w:tcW w:w="883" w:type="dxa"/>
            <w:tcBorders>
              <w:top w:val="nil"/>
              <w:left w:val="nil"/>
              <w:bottom w:val="single" w:sz="4" w:space="0" w:color="auto"/>
              <w:right w:val="single" w:sz="4" w:space="0" w:color="auto"/>
            </w:tcBorders>
            <w:shd w:val="clear" w:color="auto" w:fill="auto"/>
            <w:noWrap/>
            <w:vAlign w:val="center"/>
            <w:hideMark/>
          </w:tcPr>
          <w:p w14:paraId="02E8E4C7"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0.27</w:t>
            </w:r>
          </w:p>
        </w:tc>
        <w:tc>
          <w:tcPr>
            <w:tcW w:w="892"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B9D4D08"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79" w:type="dxa"/>
            <w:tcBorders>
              <w:top w:val="nil"/>
              <w:left w:val="nil"/>
              <w:bottom w:val="single" w:sz="4" w:space="0" w:color="auto"/>
              <w:right w:val="single" w:sz="4" w:space="0" w:color="auto"/>
            </w:tcBorders>
            <w:shd w:val="clear" w:color="auto" w:fill="auto"/>
            <w:noWrap/>
            <w:vAlign w:val="center"/>
            <w:hideMark/>
          </w:tcPr>
          <w:p w14:paraId="1CA1023A"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2.46</w:t>
            </w:r>
          </w:p>
        </w:tc>
      </w:tr>
      <w:tr w:rsidR="007E0AFE" w:rsidRPr="00B334F7" w14:paraId="1B9E8236" w14:textId="77777777" w:rsidTr="00B334F7">
        <w:trPr>
          <w:gridAfter w:val="1"/>
          <w:wAfter w:w="8" w:type="dxa"/>
          <w:trHeight w:val="604"/>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05AAD33D"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13" w:type="dxa"/>
            <w:vMerge/>
            <w:tcBorders>
              <w:top w:val="nil"/>
              <w:left w:val="single" w:sz="4" w:space="0" w:color="auto"/>
              <w:bottom w:val="single" w:sz="4" w:space="0" w:color="000000"/>
              <w:right w:val="single" w:sz="4" w:space="0" w:color="auto"/>
            </w:tcBorders>
            <w:vAlign w:val="center"/>
            <w:hideMark/>
          </w:tcPr>
          <w:p w14:paraId="05767C8B"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vMerge w:val="restart"/>
            <w:tcBorders>
              <w:top w:val="nil"/>
              <w:left w:val="single" w:sz="4" w:space="0" w:color="auto"/>
              <w:bottom w:val="single" w:sz="4" w:space="0" w:color="auto"/>
              <w:right w:val="single" w:sz="4" w:space="0" w:color="auto"/>
            </w:tcBorders>
            <w:shd w:val="clear" w:color="auto" w:fill="auto"/>
            <w:vAlign w:val="center"/>
            <w:hideMark/>
          </w:tcPr>
          <w:p w14:paraId="2D948882"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DL</w:t>
            </w:r>
          </w:p>
        </w:tc>
        <w:tc>
          <w:tcPr>
            <w:tcW w:w="1134" w:type="dxa"/>
            <w:tcBorders>
              <w:top w:val="nil"/>
              <w:left w:val="nil"/>
              <w:bottom w:val="single" w:sz="4" w:space="0" w:color="auto"/>
              <w:right w:val="single" w:sz="4" w:space="0" w:color="auto"/>
            </w:tcBorders>
            <w:shd w:val="clear" w:color="auto" w:fill="auto"/>
            <w:vAlign w:val="center"/>
            <w:hideMark/>
          </w:tcPr>
          <w:p w14:paraId="3645BCEB"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91" w:type="dxa"/>
            <w:vMerge w:val="restart"/>
            <w:tcBorders>
              <w:top w:val="nil"/>
              <w:left w:val="single" w:sz="4" w:space="0" w:color="auto"/>
              <w:bottom w:val="single" w:sz="4" w:space="0" w:color="auto"/>
              <w:right w:val="single" w:sz="4" w:space="0" w:color="auto"/>
            </w:tcBorders>
            <w:shd w:val="clear" w:color="auto" w:fill="auto"/>
            <w:vAlign w:val="center"/>
            <w:hideMark/>
          </w:tcPr>
          <w:p w14:paraId="2C6D471C"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w:t>
            </w:r>
            <w:r w:rsidRPr="00B334F7">
              <w:rPr>
                <w:rFonts w:ascii="Times New Roman" w:eastAsia="Times New Roman" w:hAnsi="Times New Roman" w:cs="Times New Roman"/>
                <w:sz w:val="16"/>
                <w:szCs w:val="16"/>
                <w:lang w:val="en-US"/>
              </w:rPr>
              <w:br/>
              <w:t>SBFD: 53 dBm</w:t>
            </w:r>
          </w:p>
        </w:tc>
        <w:tc>
          <w:tcPr>
            <w:tcW w:w="901" w:type="dxa"/>
            <w:vMerge/>
            <w:tcBorders>
              <w:top w:val="nil"/>
              <w:left w:val="single" w:sz="4" w:space="0" w:color="auto"/>
              <w:bottom w:val="single" w:sz="4" w:space="0" w:color="auto"/>
              <w:right w:val="single" w:sz="4" w:space="0" w:color="auto"/>
            </w:tcBorders>
            <w:vAlign w:val="center"/>
            <w:hideMark/>
          </w:tcPr>
          <w:p w14:paraId="774DB870"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3" w:type="dxa"/>
            <w:vMerge/>
            <w:tcBorders>
              <w:top w:val="nil"/>
              <w:left w:val="single" w:sz="4" w:space="0" w:color="auto"/>
              <w:bottom w:val="single" w:sz="4" w:space="0" w:color="auto"/>
              <w:right w:val="single" w:sz="4" w:space="0" w:color="auto"/>
            </w:tcBorders>
            <w:vAlign w:val="center"/>
            <w:hideMark/>
          </w:tcPr>
          <w:p w14:paraId="7BA99486"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nil"/>
              <w:bottom w:val="single" w:sz="4" w:space="0" w:color="auto"/>
              <w:right w:val="single" w:sz="4" w:space="0" w:color="auto"/>
            </w:tcBorders>
            <w:shd w:val="clear" w:color="auto" w:fill="auto"/>
            <w:noWrap/>
            <w:vAlign w:val="center"/>
            <w:hideMark/>
          </w:tcPr>
          <w:p w14:paraId="33B3D1FD"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-0.03</w:t>
            </w:r>
          </w:p>
        </w:tc>
        <w:tc>
          <w:tcPr>
            <w:tcW w:w="883" w:type="dxa"/>
            <w:tcBorders>
              <w:top w:val="nil"/>
              <w:left w:val="nil"/>
              <w:bottom w:val="single" w:sz="4" w:space="0" w:color="auto"/>
              <w:right w:val="single" w:sz="4" w:space="0" w:color="auto"/>
            </w:tcBorders>
            <w:shd w:val="clear" w:color="auto" w:fill="auto"/>
            <w:noWrap/>
            <w:vAlign w:val="center"/>
            <w:hideMark/>
          </w:tcPr>
          <w:p w14:paraId="148BB3C0"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0.06</w:t>
            </w:r>
          </w:p>
        </w:tc>
        <w:tc>
          <w:tcPr>
            <w:tcW w:w="892" w:type="dxa"/>
            <w:tcBorders>
              <w:top w:val="nil"/>
              <w:left w:val="nil"/>
              <w:bottom w:val="single" w:sz="4" w:space="0" w:color="auto"/>
              <w:right w:val="single" w:sz="4" w:space="0" w:color="auto"/>
            </w:tcBorders>
            <w:shd w:val="clear" w:color="auto" w:fill="auto"/>
            <w:noWrap/>
            <w:vAlign w:val="center"/>
            <w:hideMark/>
          </w:tcPr>
          <w:p w14:paraId="4E7B8240"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-0.53</w:t>
            </w:r>
          </w:p>
        </w:tc>
        <w:tc>
          <w:tcPr>
            <w:tcW w:w="879" w:type="dxa"/>
            <w:tcBorders>
              <w:top w:val="nil"/>
              <w:left w:val="nil"/>
              <w:bottom w:val="single" w:sz="4" w:space="0" w:color="auto"/>
              <w:right w:val="single" w:sz="4" w:space="0" w:color="auto"/>
            </w:tcBorders>
            <w:shd w:val="clear" w:color="auto" w:fill="auto"/>
            <w:noWrap/>
            <w:vAlign w:val="center"/>
            <w:hideMark/>
          </w:tcPr>
          <w:p w14:paraId="73409F3F"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1.94</w:t>
            </w:r>
          </w:p>
        </w:tc>
      </w:tr>
      <w:tr w:rsidR="007E0AFE" w:rsidRPr="00B334F7" w14:paraId="7E50189F" w14:textId="77777777" w:rsidTr="00B334F7">
        <w:trPr>
          <w:gridAfter w:val="1"/>
          <w:wAfter w:w="8" w:type="dxa"/>
          <w:trHeight w:val="604"/>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2AF60B04"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13" w:type="dxa"/>
            <w:vMerge/>
            <w:tcBorders>
              <w:top w:val="nil"/>
              <w:left w:val="single" w:sz="4" w:space="0" w:color="auto"/>
              <w:bottom w:val="single" w:sz="4" w:space="0" w:color="000000"/>
              <w:right w:val="single" w:sz="4" w:space="0" w:color="auto"/>
            </w:tcBorders>
            <w:vAlign w:val="center"/>
            <w:hideMark/>
          </w:tcPr>
          <w:p w14:paraId="3C11512D"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7F63F214"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4" w:type="dxa"/>
            <w:tcBorders>
              <w:top w:val="nil"/>
              <w:left w:val="nil"/>
              <w:bottom w:val="single" w:sz="4" w:space="0" w:color="auto"/>
              <w:right w:val="single" w:sz="4" w:space="0" w:color="auto"/>
            </w:tcBorders>
            <w:shd w:val="clear" w:color="auto" w:fill="auto"/>
            <w:vAlign w:val="center"/>
            <w:hideMark/>
          </w:tcPr>
          <w:p w14:paraId="384AD517"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91" w:type="dxa"/>
            <w:vMerge/>
            <w:tcBorders>
              <w:top w:val="nil"/>
              <w:left w:val="single" w:sz="4" w:space="0" w:color="auto"/>
              <w:bottom w:val="single" w:sz="4" w:space="0" w:color="auto"/>
              <w:right w:val="single" w:sz="4" w:space="0" w:color="auto"/>
            </w:tcBorders>
            <w:vAlign w:val="center"/>
            <w:hideMark/>
          </w:tcPr>
          <w:p w14:paraId="29DD9585"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1" w:type="dxa"/>
            <w:vMerge/>
            <w:tcBorders>
              <w:top w:val="nil"/>
              <w:left w:val="single" w:sz="4" w:space="0" w:color="auto"/>
              <w:bottom w:val="single" w:sz="4" w:space="0" w:color="auto"/>
              <w:right w:val="single" w:sz="4" w:space="0" w:color="auto"/>
            </w:tcBorders>
            <w:vAlign w:val="center"/>
            <w:hideMark/>
          </w:tcPr>
          <w:p w14:paraId="34BDD1B4"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3" w:type="dxa"/>
            <w:vMerge/>
            <w:tcBorders>
              <w:top w:val="nil"/>
              <w:left w:val="single" w:sz="4" w:space="0" w:color="auto"/>
              <w:bottom w:val="single" w:sz="4" w:space="0" w:color="auto"/>
              <w:right w:val="single" w:sz="4" w:space="0" w:color="auto"/>
            </w:tcBorders>
            <w:vAlign w:val="center"/>
            <w:hideMark/>
          </w:tcPr>
          <w:p w14:paraId="7122BDAE"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nil"/>
              <w:bottom w:val="single" w:sz="4" w:space="0" w:color="auto"/>
              <w:right w:val="single" w:sz="4" w:space="0" w:color="auto"/>
            </w:tcBorders>
            <w:shd w:val="clear" w:color="auto" w:fill="auto"/>
            <w:noWrap/>
            <w:vAlign w:val="center"/>
            <w:hideMark/>
          </w:tcPr>
          <w:p w14:paraId="5CD3AD80"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-0.58</w:t>
            </w:r>
          </w:p>
        </w:tc>
        <w:tc>
          <w:tcPr>
            <w:tcW w:w="883" w:type="dxa"/>
            <w:tcBorders>
              <w:top w:val="nil"/>
              <w:left w:val="nil"/>
              <w:bottom w:val="single" w:sz="4" w:space="0" w:color="auto"/>
              <w:right w:val="single" w:sz="4" w:space="0" w:color="auto"/>
            </w:tcBorders>
            <w:shd w:val="clear" w:color="auto" w:fill="auto"/>
            <w:noWrap/>
            <w:vAlign w:val="center"/>
            <w:hideMark/>
          </w:tcPr>
          <w:p w14:paraId="3FB3F9EA"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-0.1</w:t>
            </w:r>
          </w:p>
        </w:tc>
        <w:tc>
          <w:tcPr>
            <w:tcW w:w="892" w:type="dxa"/>
            <w:tcBorders>
              <w:top w:val="nil"/>
              <w:left w:val="nil"/>
              <w:bottom w:val="single" w:sz="4" w:space="0" w:color="auto"/>
              <w:right w:val="single" w:sz="4" w:space="0" w:color="auto"/>
            </w:tcBorders>
            <w:shd w:val="clear" w:color="auto" w:fill="auto"/>
            <w:noWrap/>
            <w:vAlign w:val="center"/>
            <w:hideMark/>
          </w:tcPr>
          <w:p w14:paraId="76876DDB"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-11.78</w:t>
            </w:r>
          </w:p>
        </w:tc>
        <w:tc>
          <w:tcPr>
            <w:tcW w:w="879" w:type="dxa"/>
            <w:tcBorders>
              <w:top w:val="nil"/>
              <w:left w:val="nil"/>
              <w:bottom w:val="single" w:sz="4" w:space="0" w:color="auto"/>
              <w:right w:val="single" w:sz="4" w:space="0" w:color="auto"/>
            </w:tcBorders>
            <w:shd w:val="clear" w:color="auto" w:fill="auto"/>
            <w:noWrap/>
            <w:vAlign w:val="center"/>
            <w:hideMark/>
          </w:tcPr>
          <w:p w14:paraId="448E6152"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1.76</w:t>
            </w:r>
          </w:p>
        </w:tc>
      </w:tr>
      <w:tr w:rsidR="007E0AFE" w:rsidRPr="00B334F7" w14:paraId="50678070" w14:textId="77777777" w:rsidTr="00B334F7">
        <w:trPr>
          <w:gridAfter w:val="1"/>
          <w:wAfter w:w="8" w:type="dxa"/>
          <w:trHeight w:val="604"/>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61CD99C0"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913" w:type="dxa"/>
            <w:vMerge/>
            <w:tcBorders>
              <w:top w:val="nil"/>
              <w:left w:val="single" w:sz="4" w:space="0" w:color="auto"/>
              <w:bottom w:val="single" w:sz="4" w:space="0" w:color="000000"/>
              <w:right w:val="single" w:sz="4" w:space="0" w:color="auto"/>
            </w:tcBorders>
            <w:vAlign w:val="center"/>
            <w:hideMark/>
          </w:tcPr>
          <w:p w14:paraId="27903CAF"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vMerge w:val="restart"/>
            <w:tcBorders>
              <w:top w:val="nil"/>
              <w:left w:val="single" w:sz="4" w:space="0" w:color="auto"/>
              <w:bottom w:val="single" w:sz="4" w:space="0" w:color="auto"/>
              <w:right w:val="single" w:sz="4" w:space="0" w:color="auto"/>
            </w:tcBorders>
            <w:shd w:val="clear" w:color="auto" w:fill="auto"/>
            <w:vAlign w:val="center"/>
            <w:hideMark/>
          </w:tcPr>
          <w:p w14:paraId="6374C88F"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UL</w:t>
            </w:r>
          </w:p>
        </w:tc>
        <w:tc>
          <w:tcPr>
            <w:tcW w:w="1134" w:type="dxa"/>
            <w:tcBorders>
              <w:top w:val="nil"/>
              <w:left w:val="nil"/>
              <w:bottom w:val="single" w:sz="4" w:space="0" w:color="auto"/>
              <w:right w:val="single" w:sz="4" w:space="0" w:color="auto"/>
            </w:tcBorders>
            <w:shd w:val="clear" w:color="auto" w:fill="auto"/>
            <w:vAlign w:val="center"/>
            <w:hideMark/>
          </w:tcPr>
          <w:p w14:paraId="123EFEA1"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91" w:type="dxa"/>
            <w:vMerge/>
            <w:tcBorders>
              <w:top w:val="nil"/>
              <w:left w:val="single" w:sz="4" w:space="0" w:color="auto"/>
              <w:bottom w:val="single" w:sz="4" w:space="0" w:color="auto"/>
              <w:right w:val="single" w:sz="4" w:space="0" w:color="auto"/>
            </w:tcBorders>
            <w:vAlign w:val="center"/>
            <w:hideMark/>
          </w:tcPr>
          <w:p w14:paraId="15BB1073"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1" w:type="dxa"/>
            <w:vMerge/>
            <w:tcBorders>
              <w:top w:val="nil"/>
              <w:left w:val="single" w:sz="4" w:space="0" w:color="auto"/>
              <w:bottom w:val="single" w:sz="4" w:space="0" w:color="auto"/>
              <w:right w:val="single" w:sz="4" w:space="0" w:color="auto"/>
            </w:tcBorders>
            <w:vAlign w:val="center"/>
            <w:hideMark/>
          </w:tcPr>
          <w:p w14:paraId="4472DAD4"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3" w:type="dxa"/>
            <w:vMerge/>
            <w:tcBorders>
              <w:top w:val="nil"/>
              <w:left w:val="single" w:sz="4" w:space="0" w:color="auto"/>
              <w:bottom w:val="single" w:sz="4" w:space="0" w:color="auto"/>
              <w:right w:val="single" w:sz="4" w:space="0" w:color="auto"/>
            </w:tcBorders>
            <w:vAlign w:val="center"/>
            <w:hideMark/>
          </w:tcPr>
          <w:p w14:paraId="0541C2B2"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nil"/>
              <w:bottom w:val="single" w:sz="4" w:space="0" w:color="auto"/>
              <w:right w:val="single" w:sz="4" w:space="0" w:color="auto"/>
            </w:tcBorders>
            <w:shd w:val="clear" w:color="auto" w:fill="auto"/>
            <w:noWrap/>
            <w:vAlign w:val="center"/>
            <w:hideMark/>
          </w:tcPr>
          <w:p w14:paraId="46D6EBAC"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2.89</w:t>
            </w:r>
          </w:p>
        </w:tc>
        <w:tc>
          <w:tcPr>
            <w:tcW w:w="883" w:type="dxa"/>
            <w:tcBorders>
              <w:top w:val="nil"/>
              <w:left w:val="nil"/>
              <w:bottom w:val="single" w:sz="4" w:space="0" w:color="auto"/>
              <w:right w:val="single" w:sz="4" w:space="0" w:color="auto"/>
            </w:tcBorders>
            <w:shd w:val="clear" w:color="auto" w:fill="auto"/>
            <w:noWrap/>
            <w:vAlign w:val="center"/>
            <w:hideMark/>
          </w:tcPr>
          <w:p w14:paraId="3E1C0A7D"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0.8</w:t>
            </w:r>
          </w:p>
        </w:tc>
        <w:tc>
          <w:tcPr>
            <w:tcW w:w="892"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4CB318E"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79" w:type="dxa"/>
            <w:tcBorders>
              <w:top w:val="nil"/>
              <w:left w:val="nil"/>
              <w:bottom w:val="single" w:sz="4" w:space="0" w:color="auto"/>
              <w:right w:val="single" w:sz="4" w:space="0" w:color="auto"/>
            </w:tcBorders>
            <w:shd w:val="clear" w:color="auto" w:fill="auto"/>
            <w:noWrap/>
            <w:vAlign w:val="center"/>
            <w:hideMark/>
          </w:tcPr>
          <w:p w14:paraId="1238EDC1"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3.91</w:t>
            </w:r>
          </w:p>
        </w:tc>
      </w:tr>
      <w:tr w:rsidR="007E0AFE" w:rsidRPr="00B334F7" w14:paraId="04B07634" w14:textId="77777777" w:rsidTr="00B334F7">
        <w:trPr>
          <w:gridAfter w:val="1"/>
          <w:wAfter w:w="8" w:type="dxa"/>
          <w:trHeight w:val="604"/>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2DB739E8"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913" w:type="dxa"/>
            <w:vMerge/>
            <w:tcBorders>
              <w:top w:val="nil"/>
              <w:left w:val="single" w:sz="4" w:space="0" w:color="auto"/>
              <w:bottom w:val="single" w:sz="4" w:space="0" w:color="000000"/>
              <w:right w:val="single" w:sz="4" w:space="0" w:color="auto"/>
            </w:tcBorders>
            <w:vAlign w:val="center"/>
            <w:hideMark/>
          </w:tcPr>
          <w:p w14:paraId="69353E5D"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3AA661C2"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34" w:type="dxa"/>
            <w:tcBorders>
              <w:top w:val="nil"/>
              <w:left w:val="nil"/>
              <w:bottom w:val="single" w:sz="4" w:space="0" w:color="auto"/>
              <w:right w:val="single" w:sz="4" w:space="0" w:color="auto"/>
            </w:tcBorders>
            <w:shd w:val="clear" w:color="auto" w:fill="auto"/>
            <w:vAlign w:val="center"/>
            <w:hideMark/>
          </w:tcPr>
          <w:p w14:paraId="1C011F81" w14:textId="77777777" w:rsidR="007E0AFE" w:rsidRPr="00B334F7" w:rsidRDefault="007E0AFE" w:rsidP="007E0AF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Option 2 (same gain)</w:t>
            </w:r>
          </w:p>
        </w:tc>
        <w:tc>
          <w:tcPr>
            <w:tcW w:w="891" w:type="dxa"/>
            <w:vMerge/>
            <w:tcBorders>
              <w:top w:val="nil"/>
              <w:left w:val="single" w:sz="4" w:space="0" w:color="auto"/>
              <w:bottom w:val="single" w:sz="4" w:space="0" w:color="auto"/>
              <w:right w:val="single" w:sz="4" w:space="0" w:color="auto"/>
            </w:tcBorders>
            <w:vAlign w:val="center"/>
            <w:hideMark/>
          </w:tcPr>
          <w:p w14:paraId="72224B09"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01" w:type="dxa"/>
            <w:vMerge/>
            <w:tcBorders>
              <w:top w:val="nil"/>
              <w:left w:val="single" w:sz="4" w:space="0" w:color="auto"/>
              <w:bottom w:val="single" w:sz="4" w:space="0" w:color="auto"/>
              <w:right w:val="single" w:sz="4" w:space="0" w:color="auto"/>
            </w:tcBorders>
            <w:vAlign w:val="center"/>
            <w:hideMark/>
          </w:tcPr>
          <w:p w14:paraId="28A59ACC"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13" w:type="dxa"/>
            <w:vMerge/>
            <w:tcBorders>
              <w:top w:val="nil"/>
              <w:left w:val="single" w:sz="4" w:space="0" w:color="auto"/>
              <w:bottom w:val="single" w:sz="4" w:space="0" w:color="auto"/>
              <w:right w:val="single" w:sz="4" w:space="0" w:color="auto"/>
            </w:tcBorders>
            <w:vAlign w:val="center"/>
            <w:hideMark/>
          </w:tcPr>
          <w:p w14:paraId="743047C4" w14:textId="77777777" w:rsidR="007E0AFE" w:rsidRPr="00B334F7" w:rsidRDefault="007E0AFE" w:rsidP="007E0AF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87" w:type="dxa"/>
            <w:tcBorders>
              <w:top w:val="nil"/>
              <w:left w:val="nil"/>
              <w:bottom w:val="single" w:sz="4" w:space="0" w:color="auto"/>
              <w:right w:val="single" w:sz="4" w:space="0" w:color="auto"/>
            </w:tcBorders>
            <w:shd w:val="clear" w:color="auto" w:fill="auto"/>
            <w:noWrap/>
            <w:vAlign w:val="center"/>
            <w:hideMark/>
          </w:tcPr>
          <w:p w14:paraId="7B3E2B3A"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7.58</w:t>
            </w:r>
          </w:p>
        </w:tc>
        <w:tc>
          <w:tcPr>
            <w:tcW w:w="883" w:type="dxa"/>
            <w:tcBorders>
              <w:top w:val="nil"/>
              <w:left w:val="nil"/>
              <w:bottom w:val="single" w:sz="4" w:space="0" w:color="auto"/>
              <w:right w:val="single" w:sz="4" w:space="0" w:color="auto"/>
            </w:tcBorders>
            <w:shd w:val="clear" w:color="auto" w:fill="auto"/>
            <w:noWrap/>
            <w:vAlign w:val="center"/>
            <w:hideMark/>
          </w:tcPr>
          <w:p w14:paraId="1B0D482F"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0.41</w:t>
            </w:r>
          </w:p>
        </w:tc>
        <w:tc>
          <w:tcPr>
            <w:tcW w:w="892"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796ED24"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79" w:type="dxa"/>
            <w:tcBorders>
              <w:top w:val="nil"/>
              <w:left w:val="nil"/>
              <w:bottom w:val="single" w:sz="4" w:space="0" w:color="auto"/>
              <w:right w:val="single" w:sz="4" w:space="0" w:color="auto"/>
            </w:tcBorders>
            <w:shd w:val="clear" w:color="auto" w:fill="auto"/>
            <w:noWrap/>
            <w:vAlign w:val="center"/>
            <w:hideMark/>
          </w:tcPr>
          <w:p w14:paraId="24147584" w14:textId="77777777" w:rsidR="007E0AFE" w:rsidRPr="00B334F7" w:rsidRDefault="007E0AFE" w:rsidP="007E0AF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3.76</w:t>
            </w:r>
          </w:p>
        </w:tc>
      </w:tr>
    </w:tbl>
    <w:p w14:paraId="282705A4" w14:textId="77777777" w:rsidR="009B6951" w:rsidRDefault="009B6951" w:rsidP="009E6BE7">
      <w:pPr>
        <w:rPr>
          <w:lang w:val="en-US"/>
        </w:rPr>
      </w:pPr>
    </w:p>
    <w:p w14:paraId="2C00049E" w14:textId="77777777" w:rsidR="009E6BE7" w:rsidRDefault="009E6BE7" w:rsidP="009E6BE7">
      <w:pPr>
        <w:rPr>
          <w:lang w:val="en-US"/>
        </w:rPr>
      </w:pPr>
      <w:r>
        <w:rPr>
          <w:lang w:val="en-US"/>
        </w:rPr>
        <w:t>Based on the results above, the following recommendations are proposed for this scenario and case:</w:t>
      </w:r>
    </w:p>
    <w:p w14:paraId="17BDEC41" w14:textId="58F2A42A" w:rsidR="009E6BE7" w:rsidRPr="006B4412" w:rsidRDefault="009E6BE7" w:rsidP="009E6BE7">
      <w:pPr>
        <w:rPr>
          <w:b/>
          <w:bCs/>
        </w:rPr>
      </w:pPr>
      <w:r w:rsidRPr="009D3E26">
        <w:rPr>
          <w:b/>
          <w:bCs/>
          <w:lang w:val="en-US"/>
        </w:rPr>
        <w:t xml:space="preserve">Proposal </w:t>
      </w:r>
      <w:r w:rsidR="00EB0F87">
        <w:rPr>
          <w:b/>
          <w:bCs/>
          <w:lang w:val="en-US"/>
        </w:rPr>
        <w:t>2</w:t>
      </w:r>
      <w:r w:rsidR="007F666C">
        <w:rPr>
          <w:b/>
          <w:bCs/>
          <w:lang w:val="en-US"/>
        </w:rPr>
        <w:t>6</w:t>
      </w:r>
      <w:r w:rsidRPr="009D3E26">
        <w:rPr>
          <w:b/>
          <w:bCs/>
          <w:lang w:val="en-US"/>
        </w:rPr>
        <w:t xml:space="preserve">: </w:t>
      </w:r>
      <w:r w:rsidRPr="006B4412">
        <w:rPr>
          <w:b/>
          <w:bCs/>
        </w:rPr>
        <w:t xml:space="preserve">The </w:t>
      </w:r>
      <w:r>
        <w:rPr>
          <w:b/>
          <w:bCs/>
        </w:rPr>
        <w:t xml:space="preserve">SBFD DL </w:t>
      </w:r>
      <w:r w:rsidRPr="006B4412">
        <w:rPr>
          <w:b/>
          <w:bCs/>
        </w:rPr>
        <w:t>performance degradation for UM</w:t>
      </w:r>
      <w:r>
        <w:rPr>
          <w:b/>
          <w:bCs/>
        </w:rPr>
        <w:t>a</w:t>
      </w:r>
      <w:r w:rsidRPr="006B4412">
        <w:rPr>
          <w:b/>
          <w:bCs/>
        </w:rPr>
        <w:t xml:space="preserve">-to-UMi Case </w:t>
      </w:r>
      <w:r w:rsidR="00241E13">
        <w:rPr>
          <w:b/>
          <w:bCs/>
        </w:rPr>
        <w:t>4</w:t>
      </w:r>
      <w:r w:rsidRPr="006B4412">
        <w:rPr>
          <w:b/>
          <w:bCs/>
        </w:rPr>
        <w:t xml:space="preserve"> is acceptable when </w:t>
      </w:r>
      <w:r>
        <w:rPr>
          <w:b/>
          <w:bCs/>
        </w:rPr>
        <w:t xml:space="preserve">TDD </w:t>
      </w:r>
      <w:r w:rsidR="00241E13">
        <w:rPr>
          <w:b/>
          <w:bCs/>
        </w:rPr>
        <w:t>U</w:t>
      </w:r>
      <w:r>
        <w:rPr>
          <w:b/>
          <w:bCs/>
        </w:rPr>
        <w:t>L is adopted in the aggressor network.</w:t>
      </w:r>
    </w:p>
    <w:p w14:paraId="6C1D3EB2" w14:textId="6F90D32B" w:rsidR="009E6BE7" w:rsidRDefault="009E6BE7" w:rsidP="009E6BE7">
      <w:pPr>
        <w:rPr>
          <w:lang w:val="en-US"/>
        </w:rPr>
      </w:pPr>
      <w:r w:rsidRPr="009D3E26">
        <w:rPr>
          <w:b/>
          <w:bCs/>
          <w:lang w:val="en-US"/>
        </w:rPr>
        <w:t xml:space="preserve">Proposal </w:t>
      </w:r>
      <w:r w:rsidR="00EB0F87">
        <w:rPr>
          <w:b/>
          <w:bCs/>
          <w:lang w:val="en-US"/>
        </w:rPr>
        <w:t>2</w:t>
      </w:r>
      <w:r w:rsidR="007F666C">
        <w:rPr>
          <w:b/>
          <w:bCs/>
          <w:lang w:val="en-US"/>
        </w:rPr>
        <w:t>7</w:t>
      </w:r>
      <w:r w:rsidRPr="009D3E26">
        <w:rPr>
          <w:b/>
          <w:bCs/>
          <w:lang w:val="en-US"/>
        </w:rPr>
        <w:t xml:space="preserve">: </w:t>
      </w:r>
      <w:r w:rsidRPr="006B4412">
        <w:rPr>
          <w:b/>
          <w:bCs/>
        </w:rPr>
        <w:t xml:space="preserve">The </w:t>
      </w:r>
      <w:r>
        <w:rPr>
          <w:b/>
          <w:bCs/>
        </w:rPr>
        <w:t xml:space="preserve">SBFD UL </w:t>
      </w:r>
      <w:r w:rsidRPr="006B4412">
        <w:rPr>
          <w:b/>
          <w:bCs/>
        </w:rPr>
        <w:t>performance degradation for UM</w:t>
      </w:r>
      <w:r>
        <w:rPr>
          <w:b/>
          <w:bCs/>
        </w:rPr>
        <w:t>a</w:t>
      </w:r>
      <w:r w:rsidRPr="006B4412">
        <w:rPr>
          <w:b/>
          <w:bCs/>
        </w:rPr>
        <w:t xml:space="preserve">-to-UMi Case </w:t>
      </w:r>
      <w:r w:rsidR="00241E13">
        <w:rPr>
          <w:b/>
          <w:bCs/>
        </w:rPr>
        <w:t>4</w:t>
      </w:r>
      <w:r w:rsidRPr="006B4412">
        <w:rPr>
          <w:b/>
          <w:bCs/>
        </w:rPr>
        <w:t xml:space="preserve"> is</w:t>
      </w:r>
      <w:r w:rsidR="00241E13">
        <w:rPr>
          <w:b/>
          <w:bCs/>
        </w:rPr>
        <w:t xml:space="preserve"> </w:t>
      </w:r>
      <w:r w:rsidRPr="006B4412">
        <w:rPr>
          <w:b/>
          <w:bCs/>
        </w:rPr>
        <w:t xml:space="preserve">acceptable when </w:t>
      </w:r>
      <w:r>
        <w:rPr>
          <w:b/>
          <w:bCs/>
        </w:rPr>
        <w:t xml:space="preserve">TDD </w:t>
      </w:r>
      <w:r w:rsidR="00241E13">
        <w:rPr>
          <w:b/>
          <w:bCs/>
        </w:rPr>
        <w:t>U</w:t>
      </w:r>
      <w:r>
        <w:rPr>
          <w:b/>
          <w:bCs/>
        </w:rPr>
        <w:t>L is adopted in the aggressor network, at least for 10% grid shift.</w:t>
      </w:r>
    </w:p>
    <w:p w14:paraId="3BD28238" w14:textId="77777777" w:rsidR="009E6BE7" w:rsidRPr="009E6BE7" w:rsidRDefault="009E6BE7" w:rsidP="00B334F7">
      <w:pPr>
        <w:rPr>
          <w:lang w:val="en-US"/>
        </w:rPr>
      </w:pPr>
    </w:p>
    <w:p w14:paraId="66F5F409" w14:textId="33C8FE1F" w:rsidR="00E913B6" w:rsidRDefault="00E913B6" w:rsidP="00E913B6">
      <w:pPr>
        <w:pStyle w:val="Heading4"/>
        <w:ind w:left="0" w:firstLine="0"/>
        <w:rPr>
          <w:lang w:val="en-US"/>
        </w:rPr>
      </w:pPr>
      <w:r w:rsidRPr="00FC6DDC">
        <w:rPr>
          <w:lang w:val="en-US"/>
        </w:rPr>
        <w:t>3.3.4 Scenario 5: FR1 UMi-to-UMi</w:t>
      </w:r>
    </w:p>
    <w:p w14:paraId="57D8B147" w14:textId="51959A55" w:rsidR="00E83C4E" w:rsidRDefault="002513F1" w:rsidP="00E83C4E">
      <w:pPr>
        <w:rPr>
          <w:lang w:val="en-US"/>
        </w:rPr>
      </w:pPr>
      <w:r>
        <w:rPr>
          <w:lang w:val="en-US"/>
        </w:rPr>
        <w:fldChar w:fldCharType="begin"/>
      </w:r>
      <w:r>
        <w:rPr>
          <w:lang w:val="en-US"/>
        </w:rPr>
        <w:instrText xml:space="preserve"> REF _Ref146629262 \h </w:instrText>
      </w:r>
      <w:r>
        <w:rPr>
          <w:lang w:val="en-US"/>
        </w:rPr>
      </w:r>
      <w:r>
        <w:rPr>
          <w:lang w:val="en-US"/>
        </w:rPr>
        <w:fldChar w:fldCharType="separate"/>
      </w:r>
      <w:r w:rsidR="004D336C">
        <w:t xml:space="preserve">Figure </w:t>
      </w:r>
      <w:r w:rsidR="004D336C">
        <w:rPr>
          <w:noProof/>
        </w:rPr>
        <w:t>19</w:t>
      </w:r>
      <w:r>
        <w:rPr>
          <w:lang w:val="en-US"/>
        </w:rPr>
        <w:fldChar w:fldCharType="end"/>
      </w:r>
      <w:r>
        <w:rPr>
          <w:lang w:val="en-US"/>
        </w:rPr>
        <w:t xml:space="preserve"> </w:t>
      </w:r>
      <w:r w:rsidR="00E83C4E">
        <w:rPr>
          <w:lang w:val="en-US"/>
        </w:rPr>
        <w:t xml:space="preserve">shows the DL performance of SBFD when </w:t>
      </w:r>
      <w:r w:rsidR="008D24A4">
        <w:rPr>
          <w:lang w:val="en-US"/>
        </w:rPr>
        <w:t xml:space="preserve">there is no aggressor network and when SBFD </w:t>
      </w:r>
      <w:r w:rsidR="00E83C4E">
        <w:rPr>
          <w:lang w:val="en-US"/>
        </w:rPr>
        <w:t xml:space="preserve">coexists with TDD UL. </w:t>
      </w:r>
      <w:r w:rsidR="00071104">
        <w:rPr>
          <w:lang w:val="en-US"/>
        </w:rPr>
        <w:t>Results show that the degradation due to the presence of TDD UL is quite low for any of the considered cases. The trends are very similar for the 2 antenna BS configurations at the victim network.</w:t>
      </w:r>
    </w:p>
    <w:p w14:paraId="3234839F" w14:textId="77777777" w:rsidR="001B3584" w:rsidRDefault="001B3584" w:rsidP="00B334F7">
      <w:pPr>
        <w:keepNext/>
        <w:jc w:val="center"/>
      </w:pPr>
      <w:r w:rsidRPr="001B3584">
        <w:rPr>
          <w:noProof/>
          <w:lang w:val="en-US"/>
        </w:rPr>
        <w:lastRenderedPageBreak/>
        <w:drawing>
          <wp:inline distT="0" distB="0" distL="0" distR="0" wp14:anchorId="51D719F5" wp14:editId="72716163">
            <wp:extent cx="5281574" cy="3445459"/>
            <wp:effectExtent l="0" t="0" r="0"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31">
                      <a:extLst>
                        <a:ext uri="{28A0092B-C50C-407E-A947-70E740481C1C}">
                          <a14:useLocalDpi xmlns:a14="http://schemas.microsoft.com/office/drawing/2010/main" val="0"/>
                        </a:ext>
                      </a:extLst>
                    </a:blip>
                    <a:srcRect l="6220" t="1190" r="7407" b="5440"/>
                    <a:stretch/>
                  </pic:blipFill>
                  <pic:spPr bwMode="auto">
                    <a:xfrm>
                      <a:off x="0" y="0"/>
                      <a:ext cx="5282384" cy="3445987"/>
                    </a:xfrm>
                    <a:prstGeom prst="rect">
                      <a:avLst/>
                    </a:prstGeom>
                    <a:noFill/>
                    <a:ln>
                      <a:noFill/>
                    </a:ln>
                    <a:extLst>
                      <a:ext uri="{53640926-AAD7-44D8-BBD7-CCE9431645EC}">
                        <a14:shadowObscured xmlns:a14="http://schemas.microsoft.com/office/drawing/2010/main"/>
                      </a:ext>
                    </a:extLst>
                  </pic:spPr>
                </pic:pic>
              </a:graphicData>
            </a:graphic>
          </wp:inline>
        </w:drawing>
      </w:r>
    </w:p>
    <w:p w14:paraId="5FF0C953" w14:textId="23DBE76B" w:rsidR="001B3584" w:rsidRDefault="001B3584" w:rsidP="00B334F7">
      <w:pPr>
        <w:pStyle w:val="Caption"/>
        <w:jc w:val="center"/>
        <w:rPr>
          <w:lang w:val="en-US"/>
        </w:rPr>
      </w:pPr>
      <w:bookmarkStart w:id="51" w:name="_Ref146629262"/>
      <w:r>
        <w:t xml:space="preserve">Figure </w:t>
      </w:r>
      <w:r>
        <w:fldChar w:fldCharType="begin"/>
      </w:r>
      <w:r>
        <w:instrText xml:space="preserve"> SEQ Figure \* ARABIC </w:instrText>
      </w:r>
      <w:r>
        <w:fldChar w:fldCharType="separate"/>
      </w:r>
      <w:r w:rsidR="004D336C">
        <w:rPr>
          <w:noProof/>
        </w:rPr>
        <w:t>19</w:t>
      </w:r>
      <w:r>
        <w:fldChar w:fldCharType="end"/>
      </w:r>
      <w:bookmarkEnd w:id="51"/>
      <w:r>
        <w:t xml:space="preserve">. Comparison of DL SINR and DL throughput for Case </w:t>
      </w:r>
      <w:r w:rsidR="00F56062">
        <w:t>4</w:t>
      </w:r>
      <w:r>
        <w:t xml:space="preserve"> UMi-to-UMi scenario</w:t>
      </w:r>
    </w:p>
    <w:p w14:paraId="0E9AEF87" w14:textId="77777777" w:rsidR="009A2C9F" w:rsidRDefault="009A2C9F" w:rsidP="00E83C4E">
      <w:pPr>
        <w:rPr>
          <w:lang w:val="en-US"/>
        </w:rPr>
      </w:pPr>
    </w:p>
    <w:p w14:paraId="6CACF168" w14:textId="3AD31C15" w:rsidR="009A2C9F" w:rsidRDefault="00BC68D1" w:rsidP="00E83C4E">
      <w:pPr>
        <w:rPr>
          <w:lang w:val="en-US"/>
        </w:rPr>
      </w:pPr>
      <w:r>
        <w:rPr>
          <w:lang w:val="en-US"/>
        </w:rPr>
        <w:fldChar w:fldCharType="begin"/>
      </w:r>
      <w:r>
        <w:rPr>
          <w:lang w:val="en-US"/>
        </w:rPr>
        <w:instrText xml:space="preserve"> REF _Ref146630882 \h </w:instrText>
      </w:r>
      <w:r>
        <w:rPr>
          <w:lang w:val="en-US"/>
        </w:rPr>
      </w:r>
      <w:r>
        <w:rPr>
          <w:lang w:val="en-US"/>
        </w:rPr>
        <w:fldChar w:fldCharType="separate"/>
      </w:r>
      <w:r w:rsidR="004D336C">
        <w:t xml:space="preserve">Table </w:t>
      </w:r>
      <w:r w:rsidR="004D336C">
        <w:rPr>
          <w:noProof/>
        </w:rPr>
        <w:t>19</w:t>
      </w:r>
      <w:r>
        <w:rPr>
          <w:lang w:val="en-US"/>
        </w:rPr>
        <w:fldChar w:fldCharType="end"/>
      </w:r>
      <w:r>
        <w:rPr>
          <w:lang w:val="en-US"/>
        </w:rPr>
        <w:t xml:space="preserve"> </w:t>
      </w:r>
      <w:r w:rsidR="009A2C9F">
        <w:rPr>
          <w:lang w:val="en-US"/>
        </w:rPr>
        <w:t xml:space="preserve">includes the coexistence performance of SBFD in both DL and UL when TDD </w:t>
      </w:r>
      <w:r w:rsidR="00FA2468">
        <w:rPr>
          <w:lang w:val="en-US"/>
        </w:rPr>
        <w:t>U</w:t>
      </w:r>
      <w:r w:rsidR="009A2C9F">
        <w:rPr>
          <w:lang w:val="en-US"/>
        </w:rPr>
        <w:t xml:space="preserve">L acts as the aggressor network. The table includes different grid offsets and highlights the throughput degradation values above 5%. </w:t>
      </w:r>
      <w:r w:rsidR="007811B7">
        <w:rPr>
          <w:lang w:val="en-US"/>
        </w:rPr>
        <w:t xml:space="preserve">From the table we conclude that the SBFD operation is </w:t>
      </w:r>
      <w:r w:rsidR="007F6613">
        <w:rPr>
          <w:lang w:val="en-US"/>
        </w:rPr>
        <w:t>barely affected by the presence of an adjacent channel operating in TDD UL. The reason</w:t>
      </w:r>
      <w:r w:rsidR="005405CA">
        <w:rPr>
          <w:lang w:val="en-US"/>
        </w:rPr>
        <w:t>s</w:t>
      </w:r>
      <w:r w:rsidR="007F6613">
        <w:rPr>
          <w:lang w:val="en-US"/>
        </w:rPr>
        <w:t xml:space="preserve"> for this </w:t>
      </w:r>
      <w:r w:rsidR="005405CA">
        <w:rPr>
          <w:lang w:val="en-US"/>
        </w:rPr>
        <w:t>are</w:t>
      </w:r>
      <w:r w:rsidR="007F6613">
        <w:rPr>
          <w:lang w:val="en-US"/>
        </w:rPr>
        <w:t xml:space="preserve"> that the UE-to-BS</w:t>
      </w:r>
      <w:r w:rsidR="00156437">
        <w:rPr>
          <w:lang w:val="en-US"/>
        </w:rPr>
        <w:t xml:space="preserve"> for the SBFD UL</w:t>
      </w:r>
      <w:r w:rsidR="007F6613">
        <w:rPr>
          <w:lang w:val="en-US"/>
        </w:rPr>
        <w:t xml:space="preserve"> and UE-to-UE ACI </w:t>
      </w:r>
      <w:r w:rsidR="00156437">
        <w:rPr>
          <w:lang w:val="en-US"/>
        </w:rPr>
        <w:t>for the SBFD DL are</w:t>
      </w:r>
      <w:r w:rsidR="007F6613">
        <w:rPr>
          <w:lang w:val="en-US"/>
        </w:rPr>
        <w:t xml:space="preserve"> </w:t>
      </w:r>
      <w:r w:rsidR="005378B1">
        <w:rPr>
          <w:lang w:val="en-US"/>
        </w:rPr>
        <w:t>quite low.</w:t>
      </w:r>
    </w:p>
    <w:p w14:paraId="09495C46" w14:textId="3E677FB9" w:rsidR="009A2C9F" w:rsidRDefault="009A2C9F" w:rsidP="00B334F7">
      <w:pPr>
        <w:pStyle w:val="Caption"/>
        <w:keepNext/>
      </w:pPr>
      <w:bookmarkStart w:id="52" w:name="_Ref146630882"/>
      <w:r>
        <w:t xml:space="preserve">Table </w:t>
      </w:r>
      <w:r>
        <w:fldChar w:fldCharType="begin"/>
      </w:r>
      <w:r>
        <w:instrText xml:space="preserve"> SEQ Table \* ARABIC </w:instrText>
      </w:r>
      <w:r>
        <w:fldChar w:fldCharType="separate"/>
      </w:r>
      <w:r w:rsidR="004D336C">
        <w:rPr>
          <w:noProof/>
        </w:rPr>
        <w:t>19</w:t>
      </w:r>
      <w:r>
        <w:fldChar w:fldCharType="end"/>
      </w:r>
      <w:bookmarkEnd w:id="52"/>
      <w:r>
        <w:t>. Performance summary for Case 4 UMi-to-UMi scenario</w:t>
      </w:r>
    </w:p>
    <w:tbl>
      <w:tblPr>
        <w:tblW w:w="9824" w:type="dxa"/>
        <w:tblLook w:val="04A0" w:firstRow="1" w:lastRow="0" w:firstColumn="1" w:lastColumn="0" w:noHBand="0" w:noVBand="1"/>
      </w:tblPr>
      <w:tblGrid>
        <w:gridCol w:w="834"/>
        <w:gridCol w:w="910"/>
        <w:gridCol w:w="853"/>
        <w:gridCol w:w="1141"/>
        <w:gridCol w:w="853"/>
        <w:gridCol w:w="863"/>
        <w:gridCol w:w="910"/>
        <w:gridCol w:w="865"/>
        <w:gridCol w:w="862"/>
        <w:gridCol w:w="867"/>
        <w:gridCol w:w="866"/>
      </w:tblGrid>
      <w:tr w:rsidR="0036032E" w:rsidRPr="0036032E" w14:paraId="1C3FB38E" w14:textId="77777777" w:rsidTr="00FC6DDC">
        <w:trPr>
          <w:trHeight w:val="319"/>
        </w:trPr>
        <w:tc>
          <w:tcPr>
            <w:tcW w:w="9824"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1A2D11"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Scenario 5: FR1 UMi-to-UMi</w:t>
            </w:r>
            <w:r w:rsidRPr="00B334F7">
              <w:rPr>
                <w:rFonts w:ascii="Times New Roman" w:eastAsia="Times New Roman" w:hAnsi="Times New Roman" w:cs="Times New Roman"/>
                <w:b/>
                <w:bCs/>
                <w:sz w:val="16"/>
                <w:szCs w:val="16"/>
                <w:lang w:val="en-US"/>
              </w:rPr>
              <w:br/>
              <w:t>Case 4: SBFD as victim with TDD UL as aggressor</w:t>
            </w:r>
          </w:p>
        </w:tc>
      </w:tr>
      <w:tr w:rsidR="00ED2F32" w:rsidRPr="0036032E" w14:paraId="4DC93D89" w14:textId="77777777" w:rsidTr="00FC6DDC">
        <w:trPr>
          <w:trHeight w:val="304"/>
        </w:trPr>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52D801E9"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Grid offset</w:t>
            </w:r>
          </w:p>
        </w:tc>
        <w:tc>
          <w:tcPr>
            <w:tcW w:w="891" w:type="dxa"/>
            <w:vMerge w:val="restart"/>
            <w:tcBorders>
              <w:top w:val="nil"/>
              <w:left w:val="single" w:sz="4" w:space="0" w:color="auto"/>
              <w:bottom w:val="single" w:sz="4" w:space="0" w:color="auto"/>
              <w:right w:val="single" w:sz="4" w:space="0" w:color="auto"/>
            </w:tcBorders>
            <w:shd w:val="clear" w:color="auto" w:fill="auto"/>
            <w:vAlign w:val="center"/>
            <w:hideMark/>
          </w:tcPr>
          <w:p w14:paraId="43CE31BE"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585727A7"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w:t>
            </w:r>
          </w:p>
        </w:tc>
        <w:tc>
          <w:tcPr>
            <w:tcW w:w="1107" w:type="dxa"/>
            <w:vMerge w:val="restart"/>
            <w:tcBorders>
              <w:top w:val="nil"/>
              <w:left w:val="single" w:sz="4" w:space="0" w:color="auto"/>
              <w:bottom w:val="single" w:sz="4" w:space="0" w:color="auto"/>
              <w:right w:val="single" w:sz="4" w:space="0" w:color="auto"/>
            </w:tcBorders>
            <w:shd w:val="clear" w:color="auto" w:fill="auto"/>
            <w:vAlign w:val="center"/>
            <w:hideMark/>
          </w:tcPr>
          <w:p w14:paraId="22992582"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SBFD Antenna configuration</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6840BF05"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Victim BS Tx power</w:t>
            </w:r>
          </w:p>
        </w:tc>
        <w:tc>
          <w:tcPr>
            <w:tcW w:w="875" w:type="dxa"/>
            <w:vMerge w:val="restart"/>
            <w:tcBorders>
              <w:top w:val="nil"/>
              <w:left w:val="single" w:sz="4" w:space="0" w:color="auto"/>
              <w:bottom w:val="single" w:sz="4" w:space="0" w:color="auto"/>
              <w:right w:val="single" w:sz="4" w:space="0" w:color="auto"/>
            </w:tcBorders>
            <w:shd w:val="clear" w:color="auto" w:fill="auto"/>
            <w:vAlign w:val="center"/>
            <w:hideMark/>
          </w:tcPr>
          <w:p w14:paraId="16ED1802"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Noise figure model</w:t>
            </w:r>
          </w:p>
        </w:tc>
        <w:tc>
          <w:tcPr>
            <w:tcW w:w="891" w:type="dxa"/>
            <w:vMerge w:val="restart"/>
            <w:tcBorders>
              <w:top w:val="nil"/>
              <w:left w:val="single" w:sz="4" w:space="0" w:color="auto"/>
              <w:bottom w:val="single" w:sz="4" w:space="0" w:color="auto"/>
              <w:right w:val="single" w:sz="4" w:space="0" w:color="auto"/>
            </w:tcBorders>
            <w:shd w:val="clear" w:color="auto" w:fill="auto"/>
            <w:vAlign w:val="center"/>
            <w:hideMark/>
          </w:tcPr>
          <w:p w14:paraId="20BEBB80"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Aggressor BS TX power</w:t>
            </w:r>
          </w:p>
        </w:tc>
        <w:tc>
          <w:tcPr>
            <w:tcW w:w="17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2BEEDF"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SINR degradation (dB)</w:t>
            </w:r>
          </w:p>
        </w:tc>
        <w:tc>
          <w:tcPr>
            <w:tcW w:w="17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77C4E4"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Throughput degradation (%)</w:t>
            </w:r>
          </w:p>
        </w:tc>
      </w:tr>
      <w:tr w:rsidR="0036032E" w:rsidRPr="0036032E" w14:paraId="43A3996D" w14:textId="77777777" w:rsidTr="00FC6DDC">
        <w:trPr>
          <w:trHeight w:val="304"/>
        </w:trPr>
        <w:tc>
          <w:tcPr>
            <w:tcW w:w="860" w:type="dxa"/>
            <w:vMerge/>
            <w:tcBorders>
              <w:top w:val="nil"/>
              <w:left w:val="single" w:sz="4" w:space="0" w:color="auto"/>
              <w:bottom w:val="single" w:sz="4" w:space="0" w:color="auto"/>
              <w:right w:val="single" w:sz="4" w:space="0" w:color="auto"/>
            </w:tcBorders>
            <w:vAlign w:val="center"/>
            <w:hideMark/>
          </w:tcPr>
          <w:p w14:paraId="3C4AA163"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161E2D08"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0" w:type="dxa"/>
            <w:vMerge/>
            <w:tcBorders>
              <w:top w:val="nil"/>
              <w:left w:val="single" w:sz="4" w:space="0" w:color="auto"/>
              <w:bottom w:val="single" w:sz="4" w:space="0" w:color="auto"/>
              <w:right w:val="single" w:sz="4" w:space="0" w:color="auto"/>
            </w:tcBorders>
            <w:vAlign w:val="center"/>
            <w:hideMark/>
          </w:tcPr>
          <w:p w14:paraId="1EB24C1F"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07" w:type="dxa"/>
            <w:vMerge/>
            <w:tcBorders>
              <w:top w:val="nil"/>
              <w:left w:val="single" w:sz="4" w:space="0" w:color="auto"/>
              <w:bottom w:val="single" w:sz="4" w:space="0" w:color="auto"/>
              <w:right w:val="single" w:sz="4" w:space="0" w:color="auto"/>
            </w:tcBorders>
            <w:vAlign w:val="center"/>
            <w:hideMark/>
          </w:tcPr>
          <w:p w14:paraId="391F0E4A"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0" w:type="dxa"/>
            <w:vMerge/>
            <w:tcBorders>
              <w:top w:val="nil"/>
              <w:left w:val="single" w:sz="4" w:space="0" w:color="auto"/>
              <w:bottom w:val="single" w:sz="4" w:space="0" w:color="auto"/>
              <w:right w:val="single" w:sz="4" w:space="0" w:color="auto"/>
            </w:tcBorders>
            <w:vAlign w:val="center"/>
            <w:hideMark/>
          </w:tcPr>
          <w:p w14:paraId="7773FC3B"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5" w:type="dxa"/>
            <w:vMerge/>
            <w:tcBorders>
              <w:top w:val="nil"/>
              <w:left w:val="single" w:sz="4" w:space="0" w:color="auto"/>
              <w:bottom w:val="single" w:sz="4" w:space="0" w:color="auto"/>
              <w:right w:val="single" w:sz="4" w:space="0" w:color="auto"/>
            </w:tcBorders>
            <w:vAlign w:val="center"/>
            <w:hideMark/>
          </w:tcPr>
          <w:p w14:paraId="37A04AFC"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1B698096"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27" w:type="dxa"/>
            <w:gridSpan w:val="2"/>
            <w:vMerge/>
            <w:tcBorders>
              <w:top w:val="single" w:sz="4" w:space="0" w:color="auto"/>
              <w:left w:val="single" w:sz="4" w:space="0" w:color="auto"/>
              <w:bottom w:val="single" w:sz="4" w:space="0" w:color="auto"/>
              <w:right w:val="single" w:sz="4" w:space="0" w:color="auto"/>
            </w:tcBorders>
            <w:vAlign w:val="center"/>
            <w:hideMark/>
          </w:tcPr>
          <w:p w14:paraId="3976C891"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29" w:type="dxa"/>
            <w:gridSpan w:val="2"/>
            <w:vMerge/>
            <w:tcBorders>
              <w:top w:val="single" w:sz="4" w:space="0" w:color="auto"/>
              <w:left w:val="single" w:sz="4" w:space="0" w:color="auto"/>
              <w:bottom w:val="single" w:sz="4" w:space="0" w:color="auto"/>
              <w:right w:val="single" w:sz="4" w:space="0" w:color="auto"/>
            </w:tcBorders>
            <w:vAlign w:val="center"/>
            <w:hideMark/>
          </w:tcPr>
          <w:p w14:paraId="1CF946DB"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36032E" w:rsidRPr="0036032E" w14:paraId="30521D19" w14:textId="77777777" w:rsidTr="00FC6DDC">
        <w:trPr>
          <w:trHeight w:val="304"/>
        </w:trPr>
        <w:tc>
          <w:tcPr>
            <w:tcW w:w="860" w:type="dxa"/>
            <w:vMerge/>
            <w:tcBorders>
              <w:top w:val="nil"/>
              <w:left w:val="single" w:sz="4" w:space="0" w:color="auto"/>
              <w:bottom w:val="single" w:sz="4" w:space="0" w:color="auto"/>
              <w:right w:val="single" w:sz="4" w:space="0" w:color="auto"/>
            </w:tcBorders>
            <w:vAlign w:val="center"/>
            <w:hideMark/>
          </w:tcPr>
          <w:p w14:paraId="7641C628"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545BEB62"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0" w:type="dxa"/>
            <w:vMerge/>
            <w:tcBorders>
              <w:top w:val="nil"/>
              <w:left w:val="single" w:sz="4" w:space="0" w:color="auto"/>
              <w:bottom w:val="single" w:sz="4" w:space="0" w:color="auto"/>
              <w:right w:val="single" w:sz="4" w:space="0" w:color="auto"/>
            </w:tcBorders>
            <w:vAlign w:val="center"/>
            <w:hideMark/>
          </w:tcPr>
          <w:p w14:paraId="6561FC5F"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107" w:type="dxa"/>
            <w:vMerge/>
            <w:tcBorders>
              <w:top w:val="nil"/>
              <w:left w:val="single" w:sz="4" w:space="0" w:color="auto"/>
              <w:bottom w:val="single" w:sz="4" w:space="0" w:color="auto"/>
              <w:right w:val="single" w:sz="4" w:space="0" w:color="auto"/>
            </w:tcBorders>
            <w:vAlign w:val="center"/>
            <w:hideMark/>
          </w:tcPr>
          <w:p w14:paraId="7B1BA652"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0" w:type="dxa"/>
            <w:vMerge/>
            <w:tcBorders>
              <w:top w:val="nil"/>
              <w:left w:val="single" w:sz="4" w:space="0" w:color="auto"/>
              <w:bottom w:val="single" w:sz="4" w:space="0" w:color="auto"/>
              <w:right w:val="single" w:sz="4" w:space="0" w:color="auto"/>
            </w:tcBorders>
            <w:vAlign w:val="center"/>
            <w:hideMark/>
          </w:tcPr>
          <w:p w14:paraId="6EC88183"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75" w:type="dxa"/>
            <w:vMerge/>
            <w:tcBorders>
              <w:top w:val="nil"/>
              <w:left w:val="single" w:sz="4" w:space="0" w:color="auto"/>
              <w:bottom w:val="single" w:sz="4" w:space="0" w:color="auto"/>
              <w:right w:val="single" w:sz="4" w:space="0" w:color="auto"/>
            </w:tcBorders>
            <w:vAlign w:val="center"/>
            <w:hideMark/>
          </w:tcPr>
          <w:p w14:paraId="1D1D63D2"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0B8B320E"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65" w:type="dxa"/>
            <w:tcBorders>
              <w:top w:val="nil"/>
              <w:left w:val="nil"/>
              <w:bottom w:val="single" w:sz="4" w:space="0" w:color="auto"/>
              <w:right w:val="single" w:sz="4" w:space="0" w:color="auto"/>
            </w:tcBorders>
            <w:shd w:val="clear" w:color="auto" w:fill="auto"/>
            <w:vAlign w:val="center"/>
            <w:hideMark/>
          </w:tcPr>
          <w:p w14:paraId="760BF07D"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62" w:type="dxa"/>
            <w:tcBorders>
              <w:top w:val="nil"/>
              <w:left w:val="nil"/>
              <w:bottom w:val="single" w:sz="4" w:space="0" w:color="auto"/>
              <w:right w:val="single" w:sz="4" w:space="0" w:color="auto"/>
            </w:tcBorders>
            <w:shd w:val="clear" w:color="auto" w:fill="auto"/>
            <w:vAlign w:val="center"/>
            <w:hideMark/>
          </w:tcPr>
          <w:p w14:paraId="4315EE76"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c>
          <w:tcPr>
            <w:tcW w:w="867" w:type="dxa"/>
            <w:tcBorders>
              <w:top w:val="nil"/>
              <w:left w:val="nil"/>
              <w:bottom w:val="single" w:sz="4" w:space="0" w:color="auto"/>
              <w:right w:val="single" w:sz="4" w:space="0" w:color="auto"/>
            </w:tcBorders>
            <w:shd w:val="clear" w:color="auto" w:fill="auto"/>
            <w:vAlign w:val="center"/>
            <w:hideMark/>
          </w:tcPr>
          <w:p w14:paraId="3B69F2DE"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5th pct</w:t>
            </w:r>
          </w:p>
        </w:tc>
        <w:tc>
          <w:tcPr>
            <w:tcW w:w="862" w:type="dxa"/>
            <w:tcBorders>
              <w:top w:val="nil"/>
              <w:left w:val="nil"/>
              <w:bottom w:val="single" w:sz="4" w:space="0" w:color="auto"/>
              <w:right w:val="single" w:sz="4" w:space="0" w:color="auto"/>
            </w:tcBorders>
            <w:shd w:val="clear" w:color="auto" w:fill="auto"/>
            <w:vAlign w:val="center"/>
            <w:hideMark/>
          </w:tcPr>
          <w:p w14:paraId="6A970BDB"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B334F7">
              <w:rPr>
                <w:rFonts w:ascii="Times New Roman" w:eastAsia="Times New Roman" w:hAnsi="Times New Roman" w:cs="Times New Roman"/>
                <w:b/>
                <w:bCs/>
                <w:sz w:val="16"/>
                <w:szCs w:val="16"/>
                <w:lang w:val="en-US"/>
              </w:rPr>
              <w:t>50th pct</w:t>
            </w:r>
          </w:p>
        </w:tc>
      </w:tr>
      <w:tr w:rsidR="00744E7B" w:rsidRPr="0036032E" w14:paraId="301B85C6" w14:textId="77777777" w:rsidTr="00FC6DDC">
        <w:trPr>
          <w:trHeight w:val="304"/>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5933272A"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891" w:type="dxa"/>
            <w:vMerge w:val="restart"/>
            <w:tcBorders>
              <w:top w:val="nil"/>
              <w:left w:val="single" w:sz="4" w:space="0" w:color="auto"/>
              <w:bottom w:val="single" w:sz="4" w:space="0" w:color="000000"/>
              <w:right w:val="single" w:sz="4" w:space="0" w:color="auto"/>
            </w:tcBorders>
            <w:shd w:val="clear" w:color="auto" w:fill="auto"/>
            <w:vAlign w:val="center"/>
            <w:hideMark/>
          </w:tcPr>
          <w:p w14:paraId="1A72635B"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TDD UL</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315A5F85"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DL</w:t>
            </w:r>
          </w:p>
        </w:tc>
        <w:tc>
          <w:tcPr>
            <w:tcW w:w="1107" w:type="dxa"/>
            <w:vMerge w:val="restart"/>
            <w:tcBorders>
              <w:top w:val="nil"/>
              <w:left w:val="single" w:sz="4" w:space="0" w:color="auto"/>
              <w:bottom w:val="single" w:sz="4" w:space="0" w:color="000000"/>
              <w:right w:val="single" w:sz="4" w:space="0" w:color="auto"/>
            </w:tcBorders>
            <w:shd w:val="clear" w:color="auto" w:fill="auto"/>
            <w:vAlign w:val="center"/>
            <w:hideMark/>
          </w:tcPr>
          <w:p w14:paraId="730F3366"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Same gain as TDD</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2933D833"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46 dBm</w:t>
            </w:r>
          </w:p>
        </w:tc>
        <w:tc>
          <w:tcPr>
            <w:tcW w:w="875" w:type="dxa"/>
            <w:vMerge w:val="restart"/>
            <w:tcBorders>
              <w:top w:val="nil"/>
              <w:left w:val="single" w:sz="4" w:space="0" w:color="auto"/>
              <w:bottom w:val="single" w:sz="4" w:space="0" w:color="auto"/>
              <w:right w:val="single" w:sz="4" w:space="0" w:color="auto"/>
            </w:tcBorders>
            <w:shd w:val="clear" w:color="auto" w:fill="auto"/>
            <w:vAlign w:val="center"/>
            <w:hideMark/>
          </w:tcPr>
          <w:p w14:paraId="44F9F804"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Enabled</w:t>
            </w:r>
          </w:p>
        </w:tc>
        <w:tc>
          <w:tcPr>
            <w:tcW w:w="891" w:type="dxa"/>
            <w:vMerge w:val="restart"/>
            <w:tcBorders>
              <w:top w:val="nil"/>
              <w:left w:val="single" w:sz="4" w:space="0" w:color="auto"/>
              <w:bottom w:val="single" w:sz="4" w:space="0" w:color="auto"/>
              <w:right w:val="single" w:sz="4" w:space="0" w:color="auto"/>
            </w:tcBorders>
            <w:shd w:val="clear" w:color="auto" w:fill="auto"/>
            <w:vAlign w:val="center"/>
            <w:hideMark/>
          </w:tcPr>
          <w:p w14:paraId="44AC82FA"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46 dBm</w:t>
            </w:r>
          </w:p>
        </w:tc>
        <w:tc>
          <w:tcPr>
            <w:tcW w:w="865" w:type="dxa"/>
            <w:tcBorders>
              <w:top w:val="nil"/>
              <w:left w:val="nil"/>
              <w:bottom w:val="single" w:sz="4" w:space="0" w:color="auto"/>
              <w:right w:val="single" w:sz="4" w:space="0" w:color="auto"/>
            </w:tcBorders>
            <w:shd w:val="clear" w:color="auto" w:fill="auto"/>
            <w:noWrap/>
            <w:vAlign w:val="center"/>
            <w:hideMark/>
          </w:tcPr>
          <w:p w14:paraId="29297C46"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w:t>
            </w:r>
          </w:p>
        </w:tc>
        <w:tc>
          <w:tcPr>
            <w:tcW w:w="862" w:type="dxa"/>
            <w:tcBorders>
              <w:top w:val="nil"/>
              <w:left w:val="nil"/>
              <w:bottom w:val="single" w:sz="4" w:space="0" w:color="auto"/>
              <w:right w:val="single" w:sz="4" w:space="0" w:color="auto"/>
            </w:tcBorders>
            <w:shd w:val="clear" w:color="auto" w:fill="auto"/>
            <w:noWrap/>
            <w:vAlign w:val="center"/>
            <w:hideMark/>
          </w:tcPr>
          <w:p w14:paraId="37915FE6"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w:t>
            </w:r>
          </w:p>
        </w:tc>
        <w:tc>
          <w:tcPr>
            <w:tcW w:w="867" w:type="dxa"/>
            <w:tcBorders>
              <w:top w:val="nil"/>
              <w:left w:val="nil"/>
              <w:bottom w:val="single" w:sz="4" w:space="0" w:color="auto"/>
              <w:right w:val="single" w:sz="4" w:space="0" w:color="auto"/>
            </w:tcBorders>
            <w:shd w:val="clear" w:color="auto" w:fill="auto"/>
            <w:noWrap/>
            <w:vAlign w:val="center"/>
            <w:hideMark/>
          </w:tcPr>
          <w:p w14:paraId="5F18C58E"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0.08</w:t>
            </w:r>
          </w:p>
        </w:tc>
        <w:tc>
          <w:tcPr>
            <w:tcW w:w="862" w:type="dxa"/>
            <w:tcBorders>
              <w:top w:val="nil"/>
              <w:left w:val="nil"/>
              <w:bottom w:val="single" w:sz="4" w:space="0" w:color="auto"/>
              <w:right w:val="single" w:sz="4" w:space="0" w:color="auto"/>
            </w:tcBorders>
            <w:shd w:val="clear" w:color="auto" w:fill="auto"/>
            <w:noWrap/>
            <w:vAlign w:val="center"/>
            <w:hideMark/>
          </w:tcPr>
          <w:p w14:paraId="545FD1F8"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0.07</w:t>
            </w:r>
          </w:p>
        </w:tc>
      </w:tr>
      <w:tr w:rsidR="00744E7B" w:rsidRPr="0036032E" w14:paraId="2D40B1F6" w14:textId="77777777" w:rsidTr="00FC6DDC">
        <w:trPr>
          <w:trHeight w:val="304"/>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57C7C53E"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891" w:type="dxa"/>
            <w:vMerge/>
            <w:tcBorders>
              <w:top w:val="nil"/>
              <w:left w:val="single" w:sz="4" w:space="0" w:color="auto"/>
              <w:bottom w:val="single" w:sz="4" w:space="0" w:color="000000"/>
              <w:right w:val="single" w:sz="4" w:space="0" w:color="auto"/>
            </w:tcBorders>
            <w:vAlign w:val="center"/>
            <w:hideMark/>
          </w:tcPr>
          <w:p w14:paraId="25E6C2C7"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0" w:type="dxa"/>
            <w:vMerge/>
            <w:tcBorders>
              <w:top w:val="nil"/>
              <w:left w:val="single" w:sz="4" w:space="0" w:color="auto"/>
              <w:bottom w:val="single" w:sz="4" w:space="0" w:color="auto"/>
              <w:right w:val="single" w:sz="4" w:space="0" w:color="auto"/>
            </w:tcBorders>
            <w:vAlign w:val="center"/>
            <w:hideMark/>
          </w:tcPr>
          <w:p w14:paraId="20CB0B4F"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07" w:type="dxa"/>
            <w:vMerge/>
            <w:tcBorders>
              <w:top w:val="nil"/>
              <w:left w:val="single" w:sz="4" w:space="0" w:color="auto"/>
              <w:bottom w:val="single" w:sz="4" w:space="0" w:color="000000"/>
              <w:right w:val="single" w:sz="4" w:space="0" w:color="auto"/>
            </w:tcBorders>
            <w:vAlign w:val="center"/>
            <w:hideMark/>
          </w:tcPr>
          <w:p w14:paraId="287DA653"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0" w:type="dxa"/>
            <w:vMerge/>
            <w:tcBorders>
              <w:top w:val="nil"/>
              <w:left w:val="single" w:sz="4" w:space="0" w:color="auto"/>
              <w:bottom w:val="single" w:sz="4" w:space="0" w:color="auto"/>
              <w:right w:val="single" w:sz="4" w:space="0" w:color="auto"/>
            </w:tcBorders>
            <w:vAlign w:val="center"/>
            <w:hideMark/>
          </w:tcPr>
          <w:p w14:paraId="776282B5"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5" w:type="dxa"/>
            <w:vMerge/>
            <w:tcBorders>
              <w:top w:val="nil"/>
              <w:left w:val="single" w:sz="4" w:space="0" w:color="auto"/>
              <w:bottom w:val="single" w:sz="4" w:space="0" w:color="auto"/>
              <w:right w:val="single" w:sz="4" w:space="0" w:color="auto"/>
            </w:tcBorders>
            <w:vAlign w:val="center"/>
            <w:hideMark/>
          </w:tcPr>
          <w:p w14:paraId="193D61AD"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62D8F081"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5" w:type="dxa"/>
            <w:tcBorders>
              <w:top w:val="nil"/>
              <w:left w:val="nil"/>
              <w:bottom w:val="single" w:sz="4" w:space="0" w:color="auto"/>
              <w:right w:val="single" w:sz="4" w:space="0" w:color="auto"/>
            </w:tcBorders>
            <w:shd w:val="clear" w:color="auto" w:fill="auto"/>
            <w:noWrap/>
            <w:vAlign w:val="center"/>
            <w:hideMark/>
          </w:tcPr>
          <w:p w14:paraId="378F69B8"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0.02</w:t>
            </w:r>
          </w:p>
        </w:tc>
        <w:tc>
          <w:tcPr>
            <w:tcW w:w="862" w:type="dxa"/>
            <w:tcBorders>
              <w:top w:val="nil"/>
              <w:left w:val="nil"/>
              <w:bottom w:val="single" w:sz="4" w:space="0" w:color="auto"/>
              <w:right w:val="single" w:sz="4" w:space="0" w:color="auto"/>
            </w:tcBorders>
            <w:shd w:val="clear" w:color="auto" w:fill="auto"/>
            <w:noWrap/>
            <w:vAlign w:val="center"/>
            <w:hideMark/>
          </w:tcPr>
          <w:p w14:paraId="13D77E0E"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w:t>
            </w:r>
          </w:p>
        </w:tc>
        <w:tc>
          <w:tcPr>
            <w:tcW w:w="867" w:type="dxa"/>
            <w:tcBorders>
              <w:top w:val="nil"/>
              <w:left w:val="nil"/>
              <w:bottom w:val="single" w:sz="4" w:space="0" w:color="auto"/>
              <w:right w:val="single" w:sz="4" w:space="0" w:color="auto"/>
            </w:tcBorders>
            <w:shd w:val="clear" w:color="auto" w:fill="auto"/>
            <w:noWrap/>
            <w:vAlign w:val="center"/>
            <w:hideMark/>
          </w:tcPr>
          <w:p w14:paraId="4D0B9A21"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0.31</w:t>
            </w:r>
          </w:p>
        </w:tc>
        <w:tc>
          <w:tcPr>
            <w:tcW w:w="862" w:type="dxa"/>
            <w:tcBorders>
              <w:top w:val="nil"/>
              <w:left w:val="nil"/>
              <w:bottom w:val="single" w:sz="4" w:space="0" w:color="auto"/>
              <w:right w:val="single" w:sz="4" w:space="0" w:color="auto"/>
            </w:tcBorders>
            <w:shd w:val="clear" w:color="auto" w:fill="auto"/>
            <w:noWrap/>
            <w:vAlign w:val="center"/>
            <w:hideMark/>
          </w:tcPr>
          <w:p w14:paraId="5124C2EC"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0.06</w:t>
            </w:r>
          </w:p>
        </w:tc>
      </w:tr>
      <w:tr w:rsidR="00872C9F" w:rsidRPr="0036032E" w14:paraId="1FD79C6C" w14:textId="77777777" w:rsidTr="00FC6DDC">
        <w:trPr>
          <w:trHeight w:val="304"/>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6633DE87"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100%</w:t>
            </w:r>
          </w:p>
        </w:tc>
        <w:tc>
          <w:tcPr>
            <w:tcW w:w="891" w:type="dxa"/>
            <w:vMerge/>
            <w:tcBorders>
              <w:top w:val="nil"/>
              <w:left w:val="single" w:sz="4" w:space="0" w:color="auto"/>
              <w:bottom w:val="single" w:sz="4" w:space="0" w:color="000000"/>
              <w:right w:val="single" w:sz="4" w:space="0" w:color="auto"/>
            </w:tcBorders>
            <w:vAlign w:val="center"/>
            <w:hideMark/>
          </w:tcPr>
          <w:p w14:paraId="6EECC9DD"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0D0927E9"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SBFD UL</w:t>
            </w:r>
          </w:p>
        </w:tc>
        <w:tc>
          <w:tcPr>
            <w:tcW w:w="1107" w:type="dxa"/>
            <w:vMerge/>
            <w:tcBorders>
              <w:top w:val="nil"/>
              <w:left w:val="single" w:sz="4" w:space="0" w:color="auto"/>
              <w:bottom w:val="single" w:sz="4" w:space="0" w:color="000000"/>
              <w:right w:val="single" w:sz="4" w:space="0" w:color="auto"/>
            </w:tcBorders>
            <w:vAlign w:val="center"/>
            <w:hideMark/>
          </w:tcPr>
          <w:p w14:paraId="334CDC9A"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0" w:type="dxa"/>
            <w:vMerge/>
            <w:tcBorders>
              <w:top w:val="nil"/>
              <w:left w:val="single" w:sz="4" w:space="0" w:color="auto"/>
              <w:bottom w:val="single" w:sz="4" w:space="0" w:color="auto"/>
              <w:right w:val="single" w:sz="4" w:space="0" w:color="auto"/>
            </w:tcBorders>
            <w:vAlign w:val="center"/>
            <w:hideMark/>
          </w:tcPr>
          <w:p w14:paraId="26B7DA50"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5" w:type="dxa"/>
            <w:vMerge/>
            <w:tcBorders>
              <w:top w:val="nil"/>
              <w:left w:val="single" w:sz="4" w:space="0" w:color="auto"/>
              <w:bottom w:val="single" w:sz="4" w:space="0" w:color="auto"/>
              <w:right w:val="single" w:sz="4" w:space="0" w:color="auto"/>
            </w:tcBorders>
            <w:vAlign w:val="center"/>
            <w:hideMark/>
          </w:tcPr>
          <w:p w14:paraId="763EE4C8"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65DBD5EC"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5" w:type="dxa"/>
            <w:tcBorders>
              <w:top w:val="nil"/>
              <w:left w:val="nil"/>
              <w:bottom w:val="single" w:sz="4" w:space="0" w:color="auto"/>
              <w:right w:val="single" w:sz="4" w:space="0" w:color="auto"/>
            </w:tcBorders>
            <w:shd w:val="clear" w:color="auto" w:fill="auto"/>
            <w:noWrap/>
            <w:vAlign w:val="center"/>
            <w:hideMark/>
          </w:tcPr>
          <w:p w14:paraId="3DAAB5F2"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0.02</w:t>
            </w:r>
          </w:p>
        </w:tc>
        <w:tc>
          <w:tcPr>
            <w:tcW w:w="862" w:type="dxa"/>
            <w:tcBorders>
              <w:top w:val="nil"/>
              <w:left w:val="nil"/>
              <w:bottom w:val="single" w:sz="4" w:space="0" w:color="auto"/>
              <w:right w:val="single" w:sz="4" w:space="0" w:color="auto"/>
            </w:tcBorders>
            <w:shd w:val="clear" w:color="auto" w:fill="auto"/>
            <w:noWrap/>
            <w:vAlign w:val="center"/>
            <w:hideMark/>
          </w:tcPr>
          <w:p w14:paraId="5912DE61"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0.01</w:t>
            </w:r>
          </w:p>
        </w:tc>
        <w:tc>
          <w:tcPr>
            <w:tcW w:w="86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3EA046F"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9C0006"/>
                <w:sz w:val="16"/>
                <w:szCs w:val="16"/>
                <w:lang w:val="en-US"/>
              </w:rPr>
            </w:pPr>
            <w:r w:rsidRPr="00B334F7">
              <w:rPr>
                <w:rFonts w:ascii="Times New Roman" w:eastAsia="Times New Roman" w:hAnsi="Times New Roman" w:cs="Times New Roman"/>
                <w:color w:val="9C0006"/>
                <w:sz w:val="16"/>
                <w:szCs w:val="16"/>
                <w:lang w:val="en-US"/>
              </w:rPr>
              <w:t>NaN</w:t>
            </w:r>
          </w:p>
        </w:tc>
        <w:tc>
          <w:tcPr>
            <w:tcW w:w="862" w:type="dxa"/>
            <w:tcBorders>
              <w:top w:val="nil"/>
              <w:left w:val="nil"/>
              <w:bottom w:val="single" w:sz="4" w:space="0" w:color="auto"/>
              <w:right w:val="single" w:sz="4" w:space="0" w:color="auto"/>
            </w:tcBorders>
            <w:shd w:val="clear" w:color="auto" w:fill="auto"/>
            <w:noWrap/>
            <w:vAlign w:val="center"/>
            <w:hideMark/>
          </w:tcPr>
          <w:p w14:paraId="03B8DDF6"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0.38</w:t>
            </w:r>
          </w:p>
        </w:tc>
      </w:tr>
      <w:tr w:rsidR="00744E7B" w:rsidRPr="0036032E" w14:paraId="493DB7F6" w14:textId="77777777" w:rsidTr="00FC6DDC">
        <w:trPr>
          <w:trHeight w:val="304"/>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2D989B26" w14:textId="77777777" w:rsidR="0036032E" w:rsidRPr="00B334F7" w:rsidRDefault="0036032E" w:rsidP="0036032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B334F7">
              <w:rPr>
                <w:rFonts w:ascii="Times New Roman" w:eastAsia="Times New Roman" w:hAnsi="Times New Roman" w:cs="Times New Roman"/>
                <w:sz w:val="16"/>
                <w:szCs w:val="16"/>
                <w:lang w:val="en-US"/>
              </w:rPr>
              <w:t>10%</w:t>
            </w:r>
          </w:p>
        </w:tc>
        <w:tc>
          <w:tcPr>
            <w:tcW w:w="891" w:type="dxa"/>
            <w:vMerge/>
            <w:tcBorders>
              <w:top w:val="nil"/>
              <w:left w:val="single" w:sz="4" w:space="0" w:color="auto"/>
              <w:bottom w:val="single" w:sz="4" w:space="0" w:color="000000"/>
              <w:right w:val="single" w:sz="4" w:space="0" w:color="auto"/>
            </w:tcBorders>
            <w:vAlign w:val="center"/>
            <w:hideMark/>
          </w:tcPr>
          <w:p w14:paraId="5284D852"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0" w:type="dxa"/>
            <w:vMerge/>
            <w:tcBorders>
              <w:top w:val="nil"/>
              <w:left w:val="single" w:sz="4" w:space="0" w:color="auto"/>
              <w:bottom w:val="single" w:sz="4" w:space="0" w:color="auto"/>
              <w:right w:val="single" w:sz="4" w:space="0" w:color="auto"/>
            </w:tcBorders>
            <w:vAlign w:val="center"/>
            <w:hideMark/>
          </w:tcPr>
          <w:p w14:paraId="4D6BA19F"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107" w:type="dxa"/>
            <w:vMerge/>
            <w:tcBorders>
              <w:top w:val="nil"/>
              <w:left w:val="single" w:sz="4" w:space="0" w:color="auto"/>
              <w:bottom w:val="single" w:sz="4" w:space="0" w:color="000000"/>
              <w:right w:val="single" w:sz="4" w:space="0" w:color="auto"/>
            </w:tcBorders>
            <w:vAlign w:val="center"/>
            <w:hideMark/>
          </w:tcPr>
          <w:p w14:paraId="352436D1"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0" w:type="dxa"/>
            <w:vMerge/>
            <w:tcBorders>
              <w:top w:val="nil"/>
              <w:left w:val="single" w:sz="4" w:space="0" w:color="auto"/>
              <w:bottom w:val="single" w:sz="4" w:space="0" w:color="auto"/>
              <w:right w:val="single" w:sz="4" w:space="0" w:color="auto"/>
            </w:tcBorders>
            <w:vAlign w:val="center"/>
            <w:hideMark/>
          </w:tcPr>
          <w:p w14:paraId="4957B289"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75" w:type="dxa"/>
            <w:vMerge/>
            <w:tcBorders>
              <w:top w:val="nil"/>
              <w:left w:val="single" w:sz="4" w:space="0" w:color="auto"/>
              <w:bottom w:val="single" w:sz="4" w:space="0" w:color="auto"/>
              <w:right w:val="single" w:sz="4" w:space="0" w:color="auto"/>
            </w:tcBorders>
            <w:vAlign w:val="center"/>
            <w:hideMark/>
          </w:tcPr>
          <w:p w14:paraId="44691DF7"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91" w:type="dxa"/>
            <w:vMerge/>
            <w:tcBorders>
              <w:top w:val="nil"/>
              <w:left w:val="single" w:sz="4" w:space="0" w:color="auto"/>
              <w:bottom w:val="single" w:sz="4" w:space="0" w:color="auto"/>
              <w:right w:val="single" w:sz="4" w:space="0" w:color="auto"/>
            </w:tcBorders>
            <w:vAlign w:val="center"/>
            <w:hideMark/>
          </w:tcPr>
          <w:p w14:paraId="0FAF71AA" w14:textId="77777777" w:rsidR="0036032E" w:rsidRPr="00B334F7" w:rsidRDefault="0036032E" w:rsidP="0036032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5" w:type="dxa"/>
            <w:tcBorders>
              <w:top w:val="nil"/>
              <w:left w:val="nil"/>
              <w:bottom w:val="single" w:sz="4" w:space="0" w:color="auto"/>
              <w:right w:val="single" w:sz="4" w:space="0" w:color="auto"/>
            </w:tcBorders>
            <w:shd w:val="clear" w:color="auto" w:fill="auto"/>
            <w:noWrap/>
            <w:vAlign w:val="center"/>
            <w:hideMark/>
          </w:tcPr>
          <w:p w14:paraId="58A82D92"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w:t>
            </w:r>
          </w:p>
        </w:tc>
        <w:tc>
          <w:tcPr>
            <w:tcW w:w="862" w:type="dxa"/>
            <w:tcBorders>
              <w:top w:val="nil"/>
              <w:left w:val="nil"/>
              <w:bottom w:val="single" w:sz="4" w:space="0" w:color="auto"/>
              <w:right w:val="single" w:sz="4" w:space="0" w:color="auto"/>
            </w:tcBorders>
            <w:shd w:val="clear" w:color="auto" w:fill="auto"/>
            <w:noWrap/>
            <w:vAlign w:val="center"/>
            <w:hideMark/>
          </w:tcPr>
          <w:p w14:paraId="46E91753"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0.02</w:t>
            </w:r>
          </w:p>
        </w:tc>
        <w:tc>
          <w:tcPr>
            <w:tcW w:w="867" w:type="dxa"/>
            <w:tcBorders>
              <w:top w:val="nil"/>
              <w:left w:val="nil"/>
              <w:bottom w:val="single" w:sz="4" w:space="0" w:color="auto"/>
              <w:right w:val="single" w:sz="4" w:space="0" w:color="auto"/>
            </w:tcBorders>
            <w:shd w:val="clear" w:color="auto" w:fill="auto"/>
            <w:noWrap/>
            <w:vAlign w:val="center"/>
            <w:hideMark/>
          </w:tcPr>
          <w:p w14:paraId="7730AA75"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w:t>
            </w:r>
          </w:p>
        </w:tc>
        <w:tc>
          <w:tcPr>
            <w:tcW w:w="862" w:type="dxa"/>
            <w:tcBorders>
              <w:top w:val="nil"/>
              <w:left w:val="nil"/>
              <w:bottom w:val="single" w:sz="4" w:space="0" w:color="auto"/>
              <w:right w:val="single" w:sz="4" w:space="0" w:color="auto"/>
            </w:tcBorders>
            <w:shd w:val="clear" w:color="auto" w:fill="auto"/>
            <w:noWrap/>
            <w:vAlign w:val="center"/>
            <w:hideMark/>
          </w:tcPr>
          <w:p w14:paraId="21084C82" w14:textId="77777777" w:rsidR="0036032E" w:rsidRPr="00B334F7" w:rsidRDefault="0036032E" w:rsidP="0036032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B334F7">
              <w:rPr>
                <w:rFonts w:ascii="Times New Roman" w:eastAsia="Times New Roman" w:hAnsi="Times New Roman" w:cs="Times New Roman"/>
                <w:color w:val="000000"/>
                <w:sz w:val="16"/>
                <w:szCs w:val="16"/>
                <w:lang w:val="en-US"/>
              </w:rPr>
              <w:t>0.22</w:t>
            </w:r>
          </w:p>
        </w:tc>
      </w:tr>
    </w:tbl>
    <w:p w14:paraId="73CF3AF5" w14:textId="77777777" w:rsidR="00E83C4E" w:rsidRDefault="00E83C4E" w:rsidP="00E83C4E">
      <w:pPr>
        <w:rPr>
          <w:lang w:val="en-US"/>
        </w:rPr>
      </w:pPr>
    </w:p>
    <w:p w14:paraId="2E40D888" w14:textId="77777777" w:rsidR="00EB0F87" w:rsidRDefault="00EB0F87" w:rsidP="00EB0F87">
      <w:pPr>
        <w:rPr>
          <w:lang w:val="en-US"/>
        </w:rPr>
      </w:pPr>
      <w:r>
        <w:rPr>
          <w:lang w:val="en-US"/>
        </w:rPr>
        <w:t>Based on the results above, the following recommendations are proposed for this scenario and case:</w:t>
      </w:r>
    </w:p>
    <w:p w14:paraId="08BFACBB" w14:textId="220218C0" w:rsidR="00EB0F87" w:rsidRPr="006B4412" w:rsidRDefault="00EB0F87" w:rsidP="00EB0F87">
      <w:pPr>
        <w:rPr>
          <w:b/>
          <w:bCs/>
        </w:rPr>
      </w:pPr>
      <w:r w:rsidRPr="009D3E26">
        <w:rPr>
          <w:b/>
          <w:bCs/>
          <w:lang w:val="en-US"/>
        </w:rPr>
        <w:t xml:space="preserve">Proposal </w:t>
      </w:r>
      <w:r w:rsidR="005111B2">
        <w:rPr>
          <w:b/>
          <w:bCs/>
          <w:lang w:val="en-US"/>
        </w:rPr>
        <w:t>2</w:t>
      </w:r>
      <w:r w:rsidR="007C462B">
        <w:rPr>
          <w:b/>
          <w:bCs/>
          <w:lang w:val="en-US"/>
        </w:rPr>
        <w:t>8</w:t>
      </w:r>
      <w:r w:rsidRPr="009D3E26">
        <w:rPr>
          <w:b/>
          <w:bCs/>
          <w:lang w:val="en-US"/>
        </w:rPr>
        <w:t xml:space="preserve">: </w:t>
      </w:r>
      <w:r w:rsidRPr="006B4412">
        <w:rPr>
          <w:b/>
          <w:bCs/>
        </w:rPr>
        <w:t xml:space="preserve">The </w:t>
      </w:r>
      <w:r>
        <w:rPr>
          <w:b/>
          <w:bCs/>
        </w:rPr>
        <w:t xml:space="preserve">SBFD DL </w:t>
      </w:r>
      <w:r w:rsidRPr="006B4412">
        <w:rPr>
          <w:b/>
          <w:bCs/>
        </w:rPr>
        <w:t xml:space="preserve">performance degradation for UMi-to-UMi Case </w:t>
      </w:r>
      <w:r>
        <w:rPr>
          <w:b/>
          <w:bCs/>
        </w:rPr>
        <w:t>4</w:t>
      </w:r>
      <w:r w:rsidRPr="006B4412">
        <w:rPr>
          <w:b/>
          <w:bCs/>
        </w:rPr>
        <w:t xml:space="preserve"> is acceptable when </w:t>
      </w:r>
      <w:r>
        <w:rPr>
          <w:b/>
          <w:bCs/>
        </w:rPr>
        <w:t>TDD UL is adopted in the aggressor network.</w:t>
      </w:r>
    </w:p>
    <w:p w14:paraId="2E0FE67C" w14:textId="457C489A" w:rsidR="005111B2" w:rsidRPr="006B4412" w:rsidRDefault="005111B2" w:rsidP="005111B2">
      <w:pPr>
        <w:rPr>
          <w:b/>
          <w:bCs/>
        </w:rPr>
      </w:pPr>
      <w:r w:rsidRPr="009D3E26">
        <w:rPr>
          <w:b/>
          <w:bCs/>
          <w:lang w:val="en-US"/>
        </w:rPr>
        <w:t xml:space="preserve">Proposal </w:t>
      </w:r>
      <w:r>
        <w:rPr>
          <w:b/>
          <w:bCs/>
          <w:lang w:val="en-US"/>
        </w:rPr>
        <w:t>2</w:t>
      </w:r>
      <w:r w:rsidR="007C462B">
        <w:rPr>
          <w:b/>
          <w:bCs/>
          <w:lang w:val="en-US"/>
        </w:rPr>
        <w:t>9</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UMi-to-UMi Case </w:t>
      </w:r>
      <w:r>
        <w:rPr>
          <w:b/>
          <w:bCs/>
        </w:rPr>
        <w:t>4</w:t>
      </w:r>
      <w:r w:rsidRPr="006B4412">
        <w:rPr>
          <w:b/>
          <w:bCs/>
        </w:rPr>
        <w:t xml:space="preserve"> is acceptable when </w:t>
      </w:r>
      <w:r>
        <w:rPr>
          <w:b/>
          <w:bCs/>
        </w:rPr>
        <w:t>TDD UL is adopted in the aggressor network.</w:t>
      </w:r>
    </w:p>
    <w:p w14:paraId="22E4F4FB" w14:textId="496558DA" w:rsidR="00E913B6" w:rsidRDefault="00E913B6" w:rsidP="00B334F7">
      <w:pPr>
        <w:pStyle w:val="Heading4"/>
        <w:ind w:left="0" w:firstLine="0"/>
        <w:rPr>
          <w:rFonts w:ascii="Times New Roman" w:hAnsi="Times New Roman" w:cs="Times New Roman"/>
          <w:b/>
          <w:bCs/>
          <w:lang w:eastAsia="zh-CN"/>
        </w:rPr>
      </w:pPr>
      <w:r w:rsidRPr="009D3E26">
        <w:rPr>
          <w:lang w:val="en-US"/>
        </w:rPr>
        <w:t xml:space="preserve">3.3.5 Scenario 6: FR2-1 </w:t>
      </w:r>
      <w:r w:rsidRPr="006D14C3">
        <w:rPr>
          <w:lang w:val="en-US"/>
        </w:rPr>
        <w:t>Urban Macro</w:t>
      </w:r>
    </w:p>
    <w:p w14:paraId="48B3AE77" w14:textId="29ECF278" w:rsidR="00AE1252" w:rsidRDefault="00E706B5" w:rsidP="00AE1252">
      <w:pPr>
        <w:rPr>
          <w:lang w:val="en-US"/>
        </w:rPr>
      </w:pPr>
      <w:r>
        <w:rPr>
          <w:lang w:val="en-US"/>
        </w:rPr>
        <w:fldChar w:fldCharType="begin"/>
      </w:r>
      <w:r>
        <w:rPr>
          <w:lang w:val="en-US"/>
        </w:rPr>
        <w:instrText xml:space="preserve"> REF _Ref146721282 \h </w:instrText>
      </w:r>
      <w:r>
        <w:rPr>
          <w:lang w:val="en-US"/>
        </w:rPr>
      </w:r>
      <w:r>
        <w:rPr>
          <w:lang w:val="en-US"/>
        </w:rPr>
        <w:fldChar w:fldCharType="separate"/>
      </w:r>
      <w:r w:rsidR="004D336C">
        <w:t xml:space="preserve">Figure </w:t>
      </w:r>
      <w:r w:rsidR="004D336C">
        <w:rPr>
          <w:noProof/>
        </w:rPr>
        <w:t>20</w:t>
      </w:r>
      <w:r>
        <w:rPr>
          <w:lang w:val="en-US"/>
        </w:rPr>
        <w:fldChar w:fldCharType="end"/>
      </w:r>
      <w:r>
        <w:rPr>
          <w:lang w:val="en-US"/>
        </w:rPr>
        <w:t xml:space="preserve"> </w:t>
      </w:r>
      <w:r w:rsidR="00C462A9">
        <w:rPr>
          <w:lang w:val="en-US"/>
        </w:rPr>
        <w:t xml:space="preserve">shows the DL performance of SBFD </w:t>
      </w:r>
      <w:r w:rsidR="00AE1252">
        <w:rPr>
          <w:lang w:val="en-US"/>
        </w:rPr>
        <w:t xml:space="preserve">when there is no aggressor network and when SBFD coexists with TDD DL. Results include different grid offset, i.e., 100% and 10% grid offset. It can be noted that the degradation due to the presence of ACI generated at a TDD </w:t>
      </w:r>
      <w:r w:rsidR="00426EBC">
        <w:rPr>
          <w:lang w:val="en-US"/>
        </w:rPr>
        <w:t>U</w:t>
      </w:r>
      <w:r w:rsidR="00AE1252">
        <w:rPr>
          <w:lang w:val="en-US"/>
        </w:rPr>
        <w:t xml:space="preserve">L network is not impacting severely the </w:t>
      </w:r>
      <w:r w:rsidR="00426EBC">
        <w:rPr>
          <w:lang w:val="en-US"/>
        </w:rPr>
        <w:t>D</w:t>
      </w:r>
      <w:r w:rsidR="00AE1252">
        <w:rPr>
          <w:lang w:val="en-US"/>
        </w:rPr>
        <w:t xml:space="preserve">L throughput of SBFD. This indicates that the </w:t>
      </w:r>
      <w:r w:rsidR="00426EBC">
        <w:rPr>
          <w:lang w:val="en-US"/>
        </w:rPr>
        <w:t>UE</w:t>
      </w:r>
      <w:r w:rsidR="00AE1252">
        <w:rPr>
          <w:lang w:val="en-US"/>
        </w:rPr>
        <w:t>-to-</w:t>
      </w:r>
      <w:r w:rsidR="00426EBC">
        <w:rPr>
          <w:lang w:val="en-US"/>
        </w:rPr>
        <w:t>UE</w:t>
      </w:r>
      <w:r w:rsidR="00AE1252">
        <w:rPr>
          <w:lang w:val="en-US"/>
        </w:rPr>
        <w:t xml:space="preserve"> ACI is not strong enough.</w:t>
      </w:r>
    </w:p>
    <w:p w14:paraId="67F827A6" w14:textId="77777777" w:rsidR="00A45980" w:rsidRDefault="0050583F" w:rsidP="00B334F7">
      <w:pPr>
        <w:keepNext/>
        <w:jc w:val="center"/>
      </w:pPr>
      <w:r w:rsidRPr="0050583F">
        <w:rPr>
          <w:noProof/>
          <w:lang w:val="en-US"/>
        </w:rPr>
        <w:lastRenderedPageBreak/>
        <w:drawing>
          <wp:inline distT="0" distB="0" distL="0" distR="0" wp14:anchorId="266AA096" wp14:editId="47EB569C">
            <wp:extent cx="5179161" cy="3404229"/>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rotWithShape="1">
                    <a:blip r:embed="rId32">
                      <a:extLst>
                        <a:ext uri="{28A0092B-C50C-407E-A947-70E740481C1C}">
                          <a14:useLocalDpi xmlns:a14="http://schemas.microsoft.com/office/drawing/2010/main" val="0"/>
                        </a:ext>
                      </a:extLst>
                    </a:blip>
                    <a:srcRect l="7079" t="2964" r="7211" b="4683"/>
                    <a:stretch/>
                  </pic:blipFill>
                  <pic:spPr bwMode="auto">
                    <a:xfrm>
                      <a:off x="0" y="0"/>
                      <a:ext cx="5184581" cy="3407792"/>
                    </a:xfrm>
                    <a:prstGeom prst="rect">
                      <a:avLst/>
                    </a:prstGeom>
                    <a:noFill/>
                    <a:ln>
                      <a:noFill/>
                    </a:ln>
                    <a:extLst>
                      <a:ext uri="{53640926-AAD7-44D8-BBD7-CCE9431645EC}">
                        <a14:shadowObscured xmlns:a14="http://schemas.microsoft.com/office/drawing/2010/main"/>
                      </a:ext>
                    </a:extLst>
                  </pic:spPr>
                </pic:pic>
              </a:graphicData>
            </a:graphic>
          </wp:inline>
        </w:drawing>
      </w:r>
    </w:p>
    <w:p w14:paraId="32E3F3A2" w14:textId="7EE0DC42" w:rsidR="00A45980" w:rsidRDefault="00A45980" w:rsidP="00A45980">
      <w:pPr>
        <w:pStyle w:val="Caption"/>
        <w:jc w:val="center"/>
      </w:pPr>
      <w:bookmarkStart w:id="53" w:name="_Ref146721282"/>
      <w:r>
        <w:t xml:space="preserve">Figure </w:t>
      </w:r>
      <w:r>
        <w:fldChar w:fldCharType="begin"/>
      </w:r>
      <w:r>
        <w:instrText xml:space="preserve"> SEQ Figure \* ARABIC </w:instrText>
      </w:r>
      <w:r>
        <w:fldChar w:fldCharType="separate"/>
      </w:r>
      <w:r w:rsidR="004D336C">
        <w:rPr>
          <w:noProof/>
        </w:rPr>
        <w:t>20</w:t>
      </w:r>
      <w:r>
        <w:fldChar w:fldCharType="end"/>
      </w:r>
      <w:bookmarkEnd w:id="53"/>
      <w:r>
        <w:t>. Comparison of DL SINR and DL throughput for Case 4 Urban Macro</w:t>
      </w:r>
      <w:r w:rsidR="00F96930">
        <w:t xml:space="preserve"> FR2-1</w:t>
      </w:r>
      <w:r>
        <w:t xml:space="preserve"> scenario</w:t>
      </w:r>
    </w:p>
    <w:p w14:paraId="3038E645" w14:textId="6B6B5272" w:rsidR="00AE1252" w:rsidRDefault="00AE1252" w:rsidP="00AE1252">
      <w:pPr>
        <w:keepNext/>
        <w:jc w:val="center"/>
      </w:pPr>
    </w:p>
    <w:p w14:paraId="024574C0" w14:textId="14D1E435" w:rsidR="00E913B6" w:rsidRDefault="00FA09BB" w:rsidP="00AE1252">
      <w:pPr>
        <w:overflowPunct/>
        <w:autoSpaceDE/>
        <w:autoSpaceDN/>
        <w:adjustRightInd/>
        <w:spacing w:after="0"/>
        <w:jc w:val="both"/>
        <w:textAlignment w:val="auto"/>
        <w:rPr>
          <w:lang w:val="en-US"/>
        </w:rPr>
      </w:pPr>
      <w:r>
        <w:rPr>
          <w:lang w:val="en-US"/>
        </w:rPr>
        <w:fldChar w:fldCharType="begin"/>
      </w:r>
      <w:r>
        <w:rPr>
          <w:lang w:val="en-US"/>
        </w:rPr>
        <w:instrText xml:space="preserve"> REF _Ref146720487 \h </w:instrText>
      </w:r>
      <w:r>
        <w:rPr>
          <w:lang w:val="en-US"/>
        </w:rPr>
      </w:r>
      <w:r>
        <w:rPr>
          <w:lang w:val="en-US"/>
        </w:rPr>
        <w:fldChar w:fldCharType="separate"/>
      </w:r>
      <w:r w:rsidR="004D336C">
        <w:t xml:space="preserve">Table </w:t>
      </w:r>
      <w:r w:rsidR="004D336C">
        <w:rPr>
          <w:noProof/>
        </w:rPr>
        <w:t>20</w:t>
      </w:r>
      <w:r>
        <w:rPr>
          <w:lang w:val="en-US"/>
        </w:rPr>
        <w:fldChar w:fldCharType="end"/>
      </w:r>
      <w:r>
        <w:rPr>
          <w:lang w:val="en-US"/>
        </w:rPr>
        <w:t xml:space="preserve"> </w:t>
      </w:r>
      <w:r w:rsidR="00AE1252">
        <w:rPr>
          <w:lang w:val="en-US"/>
        </w:rPr>
        <w:t xml:space="preserve">includes the coexistence performance of SBFD in both DL and UL when TDD </w:t>
      </w:r>
      <w:r>
        <w:rPr>
          <w:lang w:val="en-US"/>
        </w:rPr>
        <w:t>U</w:t>
      </w:r>
      <w:r w:rsidR="00AE1252">
        <w:rPr>
          <w:lang w:val="en-US"/>
        </w:rPr>
        <w:t>L acts as the aggressor network. The table includes different grid offsets</w:t>
      </w:r>
      <w:r w:rsidR="00E83611">
        <w:rPr>
          <w:lang w:val="en-US"/>
        </w:rPr>
        <w:t xml:space="preserve"> and victim BS antenna configurations,</w:t>
      </w:r>
      <w:r w:rsidR="00AE1252">
        <w:rPr>
          <w:lang w:val="en-US"/>
        </w:rPr>
        <w:t xml:space="preserve"> and </w:t>
      </w:r>
      <w:r w:rsidR="00E83611">
        <w:rPr>
          <w:lang w:val="en-US"/>
        </w:rPr>
        <w:t xml:space="preserve">it </w:t>
      </w:r>
      <w:r w:rsidR="00AE1252">
        <w:rPr>
          <w:lang w:val="en-US"/>
        </w:rPr>
        <w:t>highlights the throughput degradation values above 5%. Th</w:t>
      </w:r>
      <w:r w:rsidR="006E663C">
        <w:rPr>
          <w:lang w:val="en-US"/>
        </w:rPr>
        <w:t xml:space="preserve">e results indicates that the presence of TDD UL does not harm </w:t>
      </w:r>
      <w:r w:rsidR="00575D72">
        <w:rPr>
          <w:lang w:val="en-US"/>
        </w:rPr>
        <w:t>either the DL or UL performance of the victim SBFD network.</w:t>
      </w:r>
    </w:p>
    <w:p w14:paraId="458E074B" w14:textId="77777777" w:rsidR="00C61E0E" w:rsidRDefault="00C61E0E" w:rsidP="00AE1252">
      <w:pPr>
        <w:overflowPunct/>
        <w:autoSpaceDE/>
        <w:autoSpaceDN/>
        <w:adjustRightInd/>
        <w:spacing w:after="0"/>
        <w:jc w:val="both"/>
        <w:textAlignment w:val="auto"/>
        <w:rPr>
          <w:lang w:val="en-US"/>
        </w:rPr>
      </w:pPr>
    </w:p>
    <w:p w14:paraId="62DBC5A9" w14:textId="40EDA741" w:rsidR="002576FA" w:rsidRDefault="002576FA" w:rsidP="00B334F7">
      <w:pPr>
        <w:pStyle w:val="Caption"/>
        <w:keepNext/>
      </w:pPr>
      <w:bookmarkStart w:id="54" w:name="_Ref146720487"/>
      <w:r>
        <w:t xml:space="preserve">Table </w:t>
      </w:r>
      <w:r>
        <w:fldChar w:fldCharType="begin"/>
      </w:r>
      <w:r>
        <w:instrText xml:space="preserve"> SEQ Table \* ARABIC </w:instrText>
      </w:r>
      <w:r>
        <w:fldChar w:fldCharType="separate"/>
      </w:r>
      <w:r w:rsidR="004D336C">
        <w:rPr>
          <w:noProof/>
        </w:rPr>
        <w:t>20</w:t>
      </w:r>
      <w:r>
        <w:fldChar w:fldCharType="end"/>
      </w:r>
      <w:bookmarkEnd w:id="54"/>
      <w:r>
        <w:t>. Performance summary for Case 4 Urban Macro FR2-1 scenario</w:t>
      </w:r>
    </w:p>
    <w:tbl>
      <w:tblPr>
        <w:tblW w:w="9598" w:type="dxa"/>
        <w:tblLayout w:type="fixed"/>
        <w:tblLook w:val="04A0" w:firstRow="1" w:lastRow="0" w:firstColumn="1" w:lastColumn="0" w:noHBand="0" w:noVBand="1"/>
      </w:tblPr>
      <w:tblGrid>
        <w:gridCol w:w="648"/>
        <w:gridCol w:w="985"/>
        <w:gridCol w:w="741"/>
        <w:gridCol w:w="1236"/>
        <w:gridCol w:w="741"/>
        <w:gridCol w:w="804"/>
        <w:gridCol w:w="985"/>
        <w:gridCol w:w="862"/>
        <w:gridCol w:w="864"/>
        <w:gridCol w:w="863"/>
        <w:gridCol w:w="869"/>
      </w:tblGrid>
      <w:tr w:rsidR="004A43FF" w:rsidRPr="00FC6DDC" w14:paraId="44120E47" w14:textId="77777777" w:rsidTr="00FC6DDC">
        <w:trPr>
          <w:trHeight w:val="246"/>
        </w:trPr>
        <w:tc>
          <w:tcPr>
            <w:tcW w:w="959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DDBFC0"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Scenario 6: FR2-1 Urban Macro</w:t>
            </w:r>
            <w:r w:rsidRPr="00FC6DDC">
              <w:rPr>
                <w:rFonts w:ascii="Times New Roman" w:eastAsia="Times New Roman" w:hAnsi="Times New Roman" w:cs="Times New Roman"/>
                <w:b/>
                <w:bCs/>
                <w:sz w:val="16"/>
                <w:szCs w:val="16"/>
                <w:lang w:val="en-US"/>
              </w:rPr>
              <w:br/>
              <w:t>Case 4: SBFD as victim with TDD UL as aggressor</w:t>
            </w:r>
          </w:p>
        </w:tc>
      </w:tr>
      <w:tr w:rsidR="004A43FF" w:rsidRPr="004A43FF" w14:paraId="06D42FB7" w14:textId="77777777" w:rsidTr="00FC6DDC">
        <w:trPr>
          <w:trHeight w:val="233"/>
        </w:trPr>
        <w:tc>
          <w:tcPr>
            <w:tcW w:w="648" w:type="dxa"/>
            <w:vMerge w:val="restart"/>
            <w:tcBorders>
              <w:top w:val="nil"/>
              <w:left w:val="single" w:sz="4" w:space="0" w:color="auto"/>
              <w:bottom w:val="single" w:sz="4" w:space="0" w:color="auto"/>
              <w:right w:val="single" w:sz="4" w:space="0" w:color="auto"/>
            </w:tcBorders>
            <w:shd w:val="clear" w:color="auto" w:fill="auto"/>
            <w:vAlign w:val="center"/>
            <w:hideMark/>
          </w:tcPr>
          <w:p w14:paraId="03BA985B"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Grid offset</w:t>
            </w:r>
          </w:p>
        </w:tc>
        <w:tc>
          <w:tcPr>
            <w:tcW w:w="985" w:type="dxa"/>
            <w:vMerge w:val="restart"/>
            <w:tcBorders>
              <w:top w:val="nil"/>
              <w:left w:val="single" w:sz="4" w:space="0" w:color="auto"/>
              <w:bottom w:val="single" w:sz="4" w:space="0" w:color="auto"/>
              <w:right w:val="single" w:sz="4" w:space="0" w:color="auto"/>
            </w:tcBorders>
            <w:shd w:val="clear" w:color="auto" w:fill="auto"/>
            <w:vAlign w:val="center"/>
            <w:hideMark/>
          </w:tcPr>
          <w:p w14:paraId="28739761"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Aggressor</w:t>
            </w:r>
          </w:p>
        </w:tc>
        <w:tc>
          <w:tcPr>
            <w:tcW w:w="741" w:type="dxa"/>
            <w:vMerge w:val="restart"/>
            <w:tcBorders>
              <w:top w:val="nil"/>
              <w:left w:val="single" w:sz="4" w:space="0" w:color="auto"/>
              <w:bottom w:val="single" w:sz="4" w:space="0" w:color="auto"/>
              <w:right w:val="single" w:sz="4" w:space="0" w:color="auto"/>
            </w:tcBorders>
            <w:shd w:val="clear" w:color="auto" w:fill="auto"/>
            <w:vAlign w:val="center"/>
            <w:hideMark/>
          </w:tcPr>
          <w:p w14:paraId="7583202E"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Victim</w:t>
            </w:r>
          </w:p>
        </w:tc>
        <w:tc>
          <w:tcPr>
            <w:tcW w:w="1236" w:type="dxa"/>
            <w:vMerge w:val="restart"/>
            <w:tcBorders>
              <w:top w:val="nil"/>
              <w:left w:val="single" w:sz="4" w:space="0" w:color="auto"/>
              <w:bottom w:val="single" w:sz="4" w:space="0" w:color="auto"/>
              <w:right w:val="single" w:sz="4" w:space="0" w:color="auto"/>
            </w:tcBorders>
            <w:shd w:val="clear" w:color="auto" w:fill="auto"/>
            <w:vAlign w:val="center"/>
            <w:hideMark/>
          </w:tcPr>
          <w:p w14:paraId="42766A8A"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SBFD Antenna configuration</w:t>
            </w:r>
          </w:p>
        </w:tc>
        <w:tc>
          <w:tcPr>
            <w:tcW w:w="741" w:type="dxa"/>
            <w:vMerge w:val="restart"/>
            <w:tcBorders>
              <w:top w:val="nil"/>
              <w:left w:val="single" w:sz="4" w:space="0" w:color="auto"/>
              <w:bottom w:val="single" w:sz="4" w:space="0" w:color="auto"/>
              <w:right w:val="single" w:sz="4" w:space="0" w:color="auto"/>
            </w:tcBorders>
            <w:shd w:val="clear" w:color="auto" w:fill="auto"/>
            <w:vAlign w:val="center"/>
            <w:hideMark/>
          </w:tcPr>
          <w:p w14:paraId="53E20447"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Victim BS Tx power</w:t>
            </w:r>
          </w:p>
        </w:tc>
        <w:tc>
          <w:tcPr>
            <w:tcW w:w="804" w:type="dxa"/>
            <w:vMerge w:val="restart"/>
            <w:tcBorders>
              <w:top w:val="nil"/>
              <w:left w:val="single" w:sz="4" w:space="0" w:color="auto"/>
              <w:bottom w:val="single" w:sz="4" w:space="0" w:color="auto"/>
              <w:right w:val="single" w:sz="4" w:space="0" w:color="auto"/>
            </w:tcBorders>
            <w:shd w:val="clear" w:color="auto" w:fill="auto"/>
            <w:vAlign w:val="center"/>
            <w:hideMark/>
          </w:tcPr>
          <w:p w14:paraId="20CAF0F6"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Noise figure model</w:t>
            </w:r>
          </w:p>
        </w:tc>
        <w:tc>
          <w:tcPr>
            <w:tcW w:w="985" w:type="dxa"/>
            <w:vMerge w:val="restart"/>
            <w:tcBorders>
              <w:top w:val="nil"/>
              <w:left w:val="single" w:sz="4" w:space="0" w:color="auto"/>
              <w:bottom w:val="single" w:sz="4" w:space="0" w:color="auto"/>
              <w:right w:val="single" w:sz="4" w:space="0" w:color="auto"/>
            </w:tcBorders>
            <w:shd w:val="clear" w:color="auto" w:fill="auto"/>
            <w:vAlign w:val="center"/>
            <w:hideMark/>
          </w:tcPr>
          <w:p w14:paraId="248AC6B0"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Aggressor BS TX power</w:t>
            </w:r>
          </w:p>
        </w:tc>
        <w:tc>
          <w:tcPr>
            <w:tcW w:w="17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F5260D"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SINR degradation (dB)</w:t>
            </w:r>
          </w:p>
        </w:tc>
        <w:tc>
          <w:tcPr>
            <w:tcW w:w="17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C1B1F1"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Throughput degradation (%)</w:t>
            </w:r>
          </w:p>
        </w:tc>
      </w:tr>
      <w:tr w:rsidR="004A43FF" w:rsidRPr="004A43FF" w14:paraId="3FA2F5FB" w14:textId="77777777" w:rsidTr="00FC6DDC">
        <w:trPr>
          <w:trHeight w:val="233"/>
        </w:trPr>
        <w:tc>
          <w:tcPr>
            <w:tcW w:w="648" w:type="dxa"/>
            <w:vMerge/>
            <w:tcBorders>
              <w:top w:val="nil"/>
              <w:left w:val="single" w:sz="4" w:space="0" w:color="auto"/>
              <w:bottom w:val="single" w:sz="4" w:space="0" w:color="auto"/>
              <w:right w:val="single" w:sz="4" w:space="0" w:color="auto"/>
            </w:tcBorders>
            <w:vAlign w:val="center"/>
            <w:hideMark/>
          </w:tcPr>
          <w:p w14:paraId="153725B2"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85" w:type="dxa"/>
            <w:vMerge/>
            <w:tcBorders>
              <w:top w:val="nil"/>
              <w:left w:val="single" w:sz="4" w:space="0" w:color="auto"/>
              <w:bottom w:val="single" w:sz="4" w:space="0" w:color="auto"/>
              <w:right w:val="single" w:sz="4" w:space="0" w:color="auto"/>
            </w:tcBorders>
            <w:vAlign w:val="center"/>
            <w:hideMark/>
          </w:tcPr>
          <w:p w14:paraId="7FADE990"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741" w:type="dxa"/>
            <w:vMerge/>
            <w:tcBorders>
              <w:top w:val="nil"/>
              <w:left w:val="single" w:sz="4" w:space="0" w:color="auto"/>
              <w:bottom w:val="single" w:sz="4" w:space="0" w:color="auto"/>
              <w:right w:val="single" w:sz="4" w:space="0" w:color="auto"/>
            </w:tcBorders>
            <w:vAlign w:val="center"/>
            <w:hideMark/>
          </w:tcPr>
          <w:p w14:paraId="4DE63997"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236" w:type="dxa"/>
            <w:vMerge/>
            <w:tcBorders>
              <w:top w:val="nil"/>
              <w:left w:val="single" w:sz="4" w:space="0" w:color="auto"/>
              <w:bottom w:val="single" w:sz="4" w:space="0" w:color="auto"/>
              <w:right w:val="single" w:sz="4" w:space="0" w:color="auto"/>
            </w:tcBorders>
            <w:vAlign w:val="center"/>
            <w:hideMark/>
          </w:tcPr>
          <w:p w14:paraId="143C2E80"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741" w:type="dxa"/>
            <w:vMerge/>
            <w:tcBorders>
              <w:top w:val="nil"/>
              <w:left w:val="single" w:sz="4" w:space="0" w:color="auto"/>
              <w:bottom w:val="single" w:sz="4" w:space="0" w:color="auto"/>
              <w:right w:val="single" w:sz="4" w:space="0" w:color="auto"/>
            </w:tcBorders>
            <w:vAlign w:val="center"/>
            <w:hideMark/>
          </w:tcPr>
          <w:p w14:paraId="63D09367"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04" w:type="dxa"/>
            <w:vMerge/>
            <w:tcBorders>
              <w:top w:val="nil"/>
              <w:left w:val="single" w:sz="4" w:space="0" w:color="auto"/>
              <w:bottom w:val="single" w:sz="4" w:space="0" w:color="auto"/>
              <w:right w:val="single" w:sz="4" w:space="0" w:color="auto"/>
            </w:tcBorders>
            <w:vAlign w:val="center"/>
            <w:hideMark/>
          </w:tcPr>
          <w:p w14:paraId="53B3CB61"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85" w:type="dxa"/>
            <w:vMerge/>
            <w:tcBorders>
              <w:top w:val="nil"/>
              <w:left w:val="single" w:sz="4" w:space="0" w:color="auto"/>
              <w:bottom w:val="single" w:sz="4" w:space="0" w:color="auto"/>
              <w:right w:val="single" w:sz="4" w:space="0" w:color="auto"/>
            </w:tcBorders>
            <w:vAlign w:val="center"/>
            <w:hideMark/>
          </w:tcPr>
          <w:p w14:paraId="338E36D5"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26" w:type="dxa"/>
            <w:gridSpan w:val="2"/>
            <w:vMerge/>
            <w:tcBorders>
              <w:top w:val="single" w:sz="4" w:space="0" w:color="auto"/>
              <w:left w:val="single" w:sz="4" w:space="0" w:color="auto"/>
              <w:bottom w:val="single" w:sz="4" w:space="0" w:color="auto"/>
              <w:right w:val="single" w:sz="4" w:space="0" w:color="auto"/>
            </w:tcBorders>
            <w:vAlign w:val="center"/>
            <w:hideMark/>
          </w:tcPr>
          <w:p w14:paraId="71DA671D"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727" w:type="dxa"/>
            <w:gridSpan w:val="2"/>
            <w:vMerge/>
            <w:tcBorders>
              <w:top w:val="single" w:sz="4" w:space="0" w:color="auto"/>
              <w:left w:val="single" w:sz="4" w:space="0" w:color="auto"/>
              <w:bottom w:val="single" w:sz="4" w:space="0" w:color="auto"/>
              <w:right w:val="single" w:sz="4" w:space="0" w:color="auto"/>
            </w:tcBorders>
            <w:vAlign w:val="center"/>
            <w:hideMark/>
          </w:tcPr>
          <w:p w14:paraId="62B2A64A"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r>
      <w:tr w:rsidR="004A43FF" w:rsidRPr="004A43FF" w14:paraId="2CCBD11E" w14:textId="77777777" w:rsidTr="00FC6DDC">
        <w:trPr>
          <w:trHeight w:val="233"/>
        </w:trPr>
        <w:tc>
          <w:tcPr>
            <w:tcW w:w="648" w:type="dxa"/>
            <w:vMerge/>
            <w:tcBorders>
              <w:top w:val="nil"/>
              <w:left w:val="single" w:sz="4" w:space="0" w:color="auto"/>
              <w:bottom w:val="single" w:sz="4" w:space="0" w:color="auto"/>
              <w:right w:val="single" w:sz="4" w:space="0" w:color="auto"/>
            </w:tcBorders>
            <w:vAlign w:val="center"/>
            <w:hideMark/>
          </w:tcPr>
          <w:p w14:paraId="69C36A89"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85" w:type="dxa"/>
            <w:vMerge/>
            <w:tcBorders>
              <w:top w:val="nil"/>
              <w:left w:val="single" w:sz="4" w:space="0" w:color="auto"/>
              <w:bottom w:val="single" w:sz="4" w:space="0" w:color="auto"/>
              <w:right w:val="single" w:sz="4" w:space="0" w:color="auto"/>
            </w:tcBorders>
            <w:vAlign w:val="center"/>
            <w:hideMark/>
          </w:tcPr>
          <w:p w14:paraId="08DAE722"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741" w:type="dxa"/>
            <w:vMerge/>
            <w:tcBorders>
              <w:top w:val="nil"/>
              <w:left w:val="single" w:sz="4" w:space="0" w:color="auto"/>
              <w:bottom w:val="single" w:sz="4" w:space="0" w:color="auto"/>
              <w:right w:val="single" w:sz="4" w:space="0" w:color="auto"/>
            </w:tcBorders>
            <w:vAlign w:val="center"/>
            <w:hideMark/>
          </w:tcPr>
          <w:p w14:paraId="50E1C344"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1236" w:type="dxa"/>
            <w:vMerge/>
            <w:tcBorders>
              <w:top w:val="nil"/>
              <w:left w:val="single" w:sz="4" w:space="0" w:color="auto"/>
              <w:bottom w:val="single" w:sz="4" w:space="0" w:color="auto"/>
              <w:right w:val="single" w:sz="4" w:space="0" w:color="auto"/>
            </w:tcBorders>
            <w:vAlign w:val="center"/>
            <w:hideMark/>
          </w:tcPr>
          <w:p w14:paraId="000CDF39"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741" w:type="dxa"/>
            <w:vMerge/>
            <w:tcBorders>
              <w:top w:val="nil"/>
              <w:left w:val="single" w:sz="4" w:space="0" w:color="auto"/>
              <w:bottom w:val="single" w:sz="4" w:space="0" w:color="auto"/>
              <w:right w:val="single" w:sz="4" w:space="0" w:color="auto"/>
            </w:tcBorders>
            <w:vAlign w:val="center"/>
            <w:hideMark/>
          </w:tcPr>
          <w:p w14:paraId="08DC472E"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04" w:type="dxa"/>
            <w:vMerge/>
            <w:tcBorders>
              <w:top w:val="nil"/>
              <w:left w:val="single" w:sz="4" w:space="0" w:color="auto"/>
              <w:bottom w:val="single" w:sz="4" w:space="0" w:color="auto"/>
              <w:right w:val="single" w:sz="4" w:space="0" w:color="auto"/>
            </w:tcBorders>
            <w:vAlign w:val="center"/>
            <w:hideMark/>
          </w:tcPr>
          <w:p w14:paraId="05A36F68"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985" w:type="dxa"/>
            <w:vMerge/>
            <w:tcBorders>
              <w:top w:val="nil"/>
              <w:left w:val="single" w:sz="4" w:space="0" w:color="auto"/>
              <w:bottom w:val="single" w:sz="4" w:space="0" w:color="auto"/>
              <w:right w:val="single" w:sz="4" w:space="0" w:color="auto"/>
            </w:tcBorders>
            <w:vAlign w:val="center"/>
            <w:hideMark/>
          </w:tcPr>
          <w:p w14:paraId="69F592AF" w14:textId="77777777" w:rsidR="004A43FF" w:rsidRPr="00FC6DDC" w:rsidRDefault="004A43FF" w:rsidP="00C61E0E">
            <w:pPr>
              <w:overflowPunct/>
              <w:autoSpaceDE/>
              <w:autoSpaceDN/>
              <w:adjustRightInd/>
              <w:spacing w:after="0"/>
              <w:textAlignment w:val="auto"/>
              <w:rPr>
                <w:rFonts w:ascii="Times New Roman" w:eastAsia="Times New Roman" w:hAnsi="Times New Roman" w:cs="Times New Roman"/>
                <w:b/>
                <w:bCs/>
                <w:sz w:val="16"/>
                <w:szCs w:val="16"/>
                <w:lang w:val="en-US"/>
              </w:rPr>
            </w:pPr>
          </w:p>
        </w:tc>
        <w:tc>
          <w:tcPr>
            <w:tcW w:w="862" w:type="dxa"/>
            <w:tcBorders>
              <w:top w:val="nil"/>
              <w:left w:val="nil"/>
              <w:bottom w:val="single" w:sz="4" w:space="0" w:color="auto"/>
              <w:right w:val="single" w:sz="4" w:space="0" w:color="auto"/>
            </w:tcBorders>
            <w:shd w:val="clear" w:color="auto" w:fill="auto"/>
            <w:vAlign w:val="center"/>
            <w:hideMark/>
          </w:tcPr>
          <w:p w14:paraId="0D092A2C"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5th pct</w:t>
            </w:r>
          </w:p>
        </w:tc>
        <w:tc>
          <w:tcPr>
            <w:tcW w:w="864" w:type="dxa"/>
            <w:tcBorders>
              <w:top w:val="nil"/>
              <w:left w:val="nil"/>
              <w:bottom w:val="single" w:sz="4" w:space="0" w:color="auto"/>
              <w:right w:val="single" w:sz="4" w:space="0" w:color="auto"/>
            </w:tcBorders>
            <w:shd w:val="clear" w:color="auto" w:fill="auto"/>
            <w:vAlign w:val="center"/>
            <w:hideMark/>
          </w:tcPr>
          <w:p w14:paraId="33A39F25"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50th pct</w:t>
            </w:r>
          </w:p>
        </w:tc>
        <w:tc>
          <w:tcPr>
            <w:tcW w:w="863" w:type="dxa"/>
            <w:tcBorders>
              <w:top w:val="nil"/>
              <w:left w:val="nil"/>
              <w:bottom w:val="single" w:sz="4" w:space="0" w:color="auto"/>
              <w:right w:val="single" w:sz="4" w:space="0" w:color="auto"/>
            </w:tcBorders>
            <w:shd w:val="clear" w:color="auto" w:fill="auto"/>
            <w:vAlign w:val="center"/>
            <w:hideMark/>
          </w:tcPr>
          <w:p w14:paraId="271D1B05"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5th pct</w:t>
            </w:r>
          </w:p>
        </w:tc>
        <w:tc>
          <w:tcPr>
            <w:tcW w:w="864" w:type="dxa"/>
            <w:tcBorders>
              <w:top w:val="nil"/>
              <w:left w:val="nil"/>
              <w:bottom w:val="single" w:sz="4" w:space="0" w:color="auto"/>
              <w:right w:val="single" w:sz="4" w:space="0" w:color="auto"/>
            </w:tcBorders>
            <w:shd w:val="clear" w:color="auto" w:fill="auto"/>
            <w:vAlign w:val="center"/>
            <w:hideMark/>
          </w:tcPr>
          <w:p w14:paraId="22A25AB9" w14:textId="77777777" w:rsidR="004A43FF" w:rsidRPr="00FC6DDC" w:rsidRDefault="004A43FF" w:rsidP="00C61E0E">
            <w:pPr>
              <w:overflowPunct/>
              <w:autoSpaceDE/>
              <w:autoSpaceDN/>
              <w:adjustRightInd/>
              <w:spacing w:after="0"/>
              <w:jc w:val="center"/>
              <w:textAlignment w:val="auto"/>
              <w:rPr>
                <w:rFonts w:ascii="Times New Roman" w:eastAsia="Times New Roman" w:hAnsi="Times New Roman" w:cs="Times New Roman"/>
                <w:b/>
                <w:bCs/>
                <w:sz w:val="16"/>
                <w:szCs w:val="16"/>
                <w:lang w:val="en-US"/>
              </w:rPr>
            </w:pPr>
            <w:r w:rsidRPr="00FC6DDC">
              <w:rPr>
                <w:rFonts w:ascii="Times New Roman" w:eastAsia="Times New Roman" w:hAnsi="Times New Roman" w:cs="Times New Roman"/>
                <w:b/>
                <w:bCs/>
                <w:sz w:val="16"/>
                <w:szCs w:val="16"/>
                <w:lang w:val="en-US"/>
              </w:rPr>
              <w:t>50th pct</w:t>
            </w:r>
          </w:p>
        </w:tc>
      </w:tr>
      <w:tr w:rsidR="004A43FF" w:rsidRPr="004A43FF" w14:paraId="6B8F354B" w14:textId="77777777" w:rsidTr="00FC6DDC">
        <w:trPr>
          <w:trHeight w:val="352"/>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2222412B"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100%</w:t>
            </w:r>
          </w:p>
        </w:tc>
        <w:tc>
          <w:tcPr>
            <w:tcW w:w="985" w:type="dxa"/>
            <w:vMerge w:val="restart"/>
            <w:tcBorders>
              <w:top w:val="nil"/>
              <w:left w:val="single" w:sz="4" w:space="0" w:color="auto"/>
              <w:bottom w:val="single" w:sz="4" w:space="0" w:color="000000"/>
              <w:right w:val="single" w:sz="4" w:space="0" w:color="auto"/>
            </w:tcBorders>
            <w:shd w:val="clear" w:color="auto" w:fill="auto"/>
            <w:vAlign w:val="center"/>
            <w:hideMark/>
          </w:tcPr>
          <w:p w14:paraId="172ADD39"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TDD UL</w:t>
            </w:r>
          </w:p>
        </w:tc>
        <w:tc>
          <w:tcPr>
            <w:tcW w:w="741" w:type="dxa"/>
            <w:vMerge w:val="restart"/>
            <w:tcBorders>
              <w:top w:val="nil"/>
              <w:left w:val="single" w:sz="4" w:space="0" w:color="auto"/>
              <w:bottom w:val="single" w:sz="4" w:space="0" w:color="auto"/>
              <w:right w:val="single" w:sz="4" w:space="0" w:color="auto"/>
            </w:tcBorders>
            <w:shd w:val="clear" w:color="auto" w:fill="auto"/>
            <w:vAlign w:val="center"/>
            <w:hideMark/>
          </w:tcPr>
          <w:p w14:paraId="62759BF0"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SBFD DL</w:t>
            </w:r>
          </w:p>
        </w:tc>
        <w:tc>
          <w:tcPr>
            <w:tcW w:w="1236" w:type="dxa"/>
            <w:tcBorders>
              <w:top w:val="nil"/>
              <w:left w:val="nil"/>
              <w:bottom w:val="single" w:sz="4" w:space="0" w:color="auto"/>
              <w:right w:val="single" w:sz="4" w:space="0" w:color="auto"/>
            </w:tcBorders>
            <w:shd w:val="clear" w:color="auto" w:fill="auto"/>
            <w:vAlign w:val="center"/>
            <w:hideMark/>
          </w:tcPr>
          <w:p w14:paraId="54EC23EC"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Option 1 (same size)</w:t>
            </w:r>
          </w:p>
        </w:tc>
        <w:tc>
          <w:tcPr>
            <w:tcW w:w="741" w:type="dxa"/>
            <w:vMerge w:val="restart"/>
            <w:tcBorders>
              <w:top w:val="nil"/>
              <w:left w:val="single" w:sz="4" w:space="0" w:color="auto"/>
              <w:bottom w:val="single" w:sz="4" w:space="0" w:color="auto"/>
              <w:right w:val="single" w:sz="4" w:space="0" w:color="auto"/>
            </w:tcBorders>
            <w:shd w:val="clear" w:color="auto" w:fill="auto"/>
            <w:vAlign w:val="center"/>
            <w:hideMark/>
          </w:tcPr>
          <w:p w14:paraId="022AF77E"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Option 1:</w:t>
            </w:r>
            <w:r w:rsidRPr="004A43FF">
              <w:rPr>
                <w:rFonts w:ascii="Times New Roman" w:eastAsia="Times New Roman" w:hAnsi="Times New Roman" w:cs="Times New Roman"/>
                <w:sz w:val="16"/>
                <w:szCs w:val="16"/>
                <w:lang w:val="en-US"/>
              </w:rPr>
              <w:br/>
              <w:t>SBFD: 27 dBm</w:t>
            </w:r>
          </w:p>
        </w:tc>
        <w:tc>
          <w:tcPr>
            <w:tcW w:w="804" w:type="dxa"/>
            <w:vMerge w:val="restart"/>
            <w:tcBorders>
              <w:top w:val="nil"/>
              <w:left w:val="single" w:sz="4" w:space="0" w:color="auto"/>
              <w:bottom w:val="single" w:sz="4" w:space="0" w:color="auto"/>
              <w:right w:val="single" w:sz="4" w:space="0" w:color="auto"/>
            </w:tcBorders>
            <w:shd w:val="clear" w:color="auto" w:fill="auto"/>
            <w:vAlign w:val="center"/>
            <w:hideMark/>
          </w:tcPr>
          <w:p w14:paraId="45655FAF"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Enabled</w:t>
            </w:r>
          </w:p>
        </w:tc>
        <w:tc>
          <w:tcPr>
            <w:tcW w:w="985" w:type="dxa"/>
            <w:vMerge w:val="restart"/>
            <w:tcBorders>
              <w:top w:val="nil"/>
              <w:left w:val="single" w:sz="4" w:space="0" w:color="auto"/>
              <w:bottom w:val="single" w:sz="4" w:space="0" w:color="auto"/>
              <w:right w:val="single" w:sz="4" w:space="0" w:color="auto"/>
            </w:tcBorders>
            <w:shd w:val="clear" w:color="auto" w:fill="auto"/>
            <w:vAlign w:val="center"/>
            <w:hideMark/>
          </w:tcPr>
          <w:p w14:paraId="5D149E48"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N/A</w:t>
            </w:r>
          </w:p>
        </w:tc>
        <w:tc>
          <w:tcPr>
            <w:tcW w:w="862" w:type="dxa"/>
            <w:tcBorders>
              <w:top w:val="nil"/>
              <w:left w:val="nil"/>
              <w:bottom w:val="single" w:sz="4" w:space="0" w:color="auto"/>
              <w:right w:val="single" w:sz="4" w:space="0" w:color="auto"/>
            </w:tcBorders>
            <w:shd w:val="clear" w:color="auto" w:fill="auto"/>
            <w:noWrap/>
            <w:vAlign w:val="center"/>
            <w:hideMark/>
          </w:tcPr>
          <w:p w14:paraId="7B091B9A"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0.01</w:t>
            </w:r>
          </w:p>
        </w:tc>
        <w:tc>
          <w:tcPr>
            <w:tcW w:w="864" w:type="dxa"/>
            <w:tcBorders>
              <w:top w:val="nil"/>
              <w:left w:val="nil"/>
              <w:bottom w:val="single" w:sz="4" w:space="0" w:color="auto"/>
              <w:right w:val="single" w:sz="4" w:space="0" w:color="auto"/>
            </w:tcBorders>
            <w:shd w:val="clear" w:color="auto" w:fill="auto"/>
            <w:noWrap/>
            <w:vAlign w:val="center"/>
            <w:hideMark/>
          </w:tcPr>
          <w:p w14:paraId="2774CEEB"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3" w:type="dxa"/>
            <w:tcBorders>
              <w:top w:val="nil"/>
              <w:left w:val="nil"/>
              <w:bottom w:val="single" w:sz="4" w:space="0" w:color="auto"/>
              <w:right w:val="single" w:sz="4" w:space="0" w:color="auto"/>
            </w:tcBorders>
            <w:shd w:val="clear" w:color="auto" w:fill="auto"/>
            <w:noWrap/>
            <w:vAlign w:val="center"/>
            <w:hideMark/>
          </w:tcPr>
          <w:p w14:paraId="4732DD78"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0.11</w:t>
            </w:r>
          </w:p>
        </w:tc>
        <w:tc>
          <w:tcPr>
            <w:tcW w:w="864" w:type="dxa"/>
            <w:tcBorders>
              <w:top w:val="nil"/>
              <w:left w:val="nil"/>
              <w:bottom w:val="single" w:sz="4" w:space="0" w:color="auto"/>
              <w:right w:val="single" w:sz="4" w:space="0" w:color="auto"/>
            </w:tcBorders>
            <w:shd w:val="clear" w:color="auto" w:fill="auto"/>
            <w:noWrap/>
            <w:vAlign w:val="center"/>
            <w:hideMark/>
          </w:tcPr>
          <w:p w14:paraId="0567251B"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0.02</w:t>
            </w:r>
          </w:p>
        </w:tc>
      </w:tr>
      <w:tr w:rsidR="004A43FF" w:rsidRPr="004A43FF" w14:paraId="18755671" w14:textId="77777777" w:rsidTr="00FC6DDC">
        <w:trPr>
          <w:trHeight w:val="352"/>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6FFC6DD0"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10%</w:t>
            </w:r>
          </w:p>
        </w:tc>
        <w:tc>
          <w:tcPr>
            <w:tcW w:w="985" w:type="dxa"/>
            <w:vMerge/>
            <w:tcBorders>
              <w:top w:val="nil"/>
              <w:left w:val="single" w:sz="4" w:space="0" w:color="auto"/>
              <w:bottom w:val="single" w:sz="4" w:space="0" w:color="000000"/>
              <w:right w:val="single" w:sz="4" w:space="0" w:color="auto"/>
            </w:tcBorders>
            <w:vAlign w:val="center"/>
            <w:hideMark/>
          </w:tcPr>
          <w:p w14:paraId="420DB03C"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741" w:type="dxa"/>
            <w:vMerge/>
            <w:tcBorders>
              <w:top w:val="nil"/>
              <w:left w:val="single" w:sz="4" w:space="0" w:color="auto"/>
              <w:bottom w:val="single" w:sz="4" w:space="0" w:color="auto"/>
              <w:right w:val="single" w:sz="4" w:space="0" w:color="auto"/>
            </w:tcBorders>
            <w:vAlign w:val="center"/>
            <w:hideMark/>
          </w:tcPr>
          <w:p w14:paraId="222EC863"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236" w:type="dxa"/>
            <w:tcBorders>
              <w:top w:val="nil"/>
              <w:left w:val="nil"/>
              <w:bottom w:val="single" w:sz="4" w:space="0" w:color="auto"/>
              <w:right w:val="single" w:sz="4" w:space="0" w:color="auto"/>
            </w:tcBorders>
            <w:shd w:val="clear" w:color="auto" w:fill="auto"/>
            <w:vAlign w:val="center"/>
            <w:hideMark/>
          </w:tcPr>
          <w:p w14:paraId="77CA4897"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Option 1 (same size)</w:t>
            </w:r>
          </w:p>
        </w:tc>
        <w:tc>
          <w:tcPr>
            <w:tcW w:w="741" w:type="dxa"/>
            <w:vMerge/>
            <w:tcBorders>
              <w:top w:val="nil"/>
              <w:left w:val="single" w:sz="4" w:space="0" w:color="auto"/>
              <w:bottom w:val="single" w:sz="4" w:space="0" w:color="auto"/>
              <w:right w:val="single" w:sz="4" w:space="0" w:color="auto"/>
            </w:tcBorders>
            <w:vAlign w:val="center"/>
            <w:hideMark/>
          </w:tcPr>
          <w:p w14:paraId="264FC5C3"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4" w:type="dxa"/>
            <w:vMerge/>
            <w:tcBorders>
              <w:top w:val="nil"/>
              <w:left w:val="single" w:sz="4" w:space="0" w:color="auto"/>
              <w:bottom w:val="single" w:sz="4" w:space="0" w:color="auto"/>
              <w:right w:val="single" w:sz="4" w:space="0" w:color="auto"/>
            </w:tcBorders>
            <w:vAlign w:val="center"/>
            <w:hideMark/>
          </w:tcPr>
          <w:p w14:paraId="5D629BE3"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85" w:type="dxa"/>
            <w:vMerge/>
            <w:tcBorders>
              <w:top w:val="nil"/>
              <w:left w:val="single" w:sz="4" w:space="0" w:color="auto"/>
              <w:bottom w:val="single" w:sz="4" w:space="0" w:color="auto"/>
              <w:right w:val="single" w:sz="4" w:space="0" w:color="auto"/>
            </w:tcBorders>
            <w:vAlign w:val="center"/>
            <w:hideMark/>
          </w:tcPr>
          <w:p w14:paraId="2B032956"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2" w:type="dxa"/>
            <w:tcBorders>
              <w:top w:val="nil"/>
              <w:left w:val="nil"/>
              <w:bottom w:val="single" w:sz="4" w:space="0" w:color="auto"/>
              <w:right w:val="single" w:sz="4" w:space="0" w:color="auto"/>
            </w:tcBorders>
            <w:shd w:val="clear" w:color="auto" w:fill="auto"/>
            <w:noWrap/>
            <w:vAlign w:val="center"/>
            <w:hideMark/>
          </w:tcPr>
          <w:p w14:paraId="335581DD"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4" w:type="dxa"/>
            <w:tcBorders>
              <w:top w:val="nil"/>
              <w:left w:val="nil"/>
              <w:bottom w:val="single" w:sz="4" w:space="0" w:color="auto"/>
              <w:right w:val="single" w:sz="4" w:space="0" w:color="auto"/>
            </w:tcBorders>
            <w:shd w:val="clear" w:color="auto" w:fill="auto"/>
            <w:noWrap/>
            <w:vAlign w:val="center"/>
            <w:hideMark/>
          </w:tcPr>
          <w:p w14:paraId="7263C8E8"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0.01</w:t>
            </w:r>
          </w:p>
        </w:tc>
        <w:tc>
          <w:tcPr>
            <w:tcW w:w="863" w:type="dxa"/>
            <w:tcBorders>
              <w:top w:val="nil"/>
              <w:left w:val="nil"/>
              <w:bottom w:val="single" w:sz="4" w:space="0" w:color="auto"/>
              <w:right w:val="single" w:sz="4" w:space="0" w:color="auto"/>
            </w:tcBorders>
            <w:shd w:val="clear" w:color="auto" w:fill="auto"/>
            <w:noWrap/>
            <w:vAlign w:val="center"/>
            <w:hideMark/>
          </w:tcPr>
          <w:p w14:paraId="791F7360"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0.05</w:t>
            </w:r>
          </w:p>
        </w:tc>
        <w:tc>
          <w:tcPr>
            <w:tcW w:w="864" w:type="dxa"/>
            <w:tcBorders>
              <w:top w:val="nil"/>
              <w:left w:val="nil"/>
              <w:bottom w:val="single" w:sz="4" w:space="0" w:color="auto"/>
              <w:right w:val="single" w:sz="4" w:space="0" w:color="auto"/>
            </w:tcBorders>
            <w:shd w:val="clear" w:color="auto" w:fill="auto"/>
            <w:noWrap/>
            <w:vAlign w:val="center"/>
            <w:hideMark/>
          </w:tcPr>
          <w:p w14:paraId="469A16E5"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0.02</w:t>
            </w:r>
          </w:p>
        </w:tc>
      </w:tr>
      <w:tr w:rsidR="004A43FF" w:rsidRPr="004A43FF" w14:paraId="293B777F" w14:textId="77777777" w:rsidTr="00FC6DDC">
        <w:trPr>
          <w:trHeight w:val="352"/>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6881E3F9"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100%</w:t>
            </w:r>
          </w:p>
        </w:tc>
        <w:tc>
          <w:tcPr>
            <w:tcW w:w="985" w:type="dxa"/>
            <w:vMerge/>
            <w:tcBorders>
              <w:top w:val="nil"/>
              <w:left w:val="single" w:sz="4" w:space="0" w:color="auto"/>
              <w:bottom w:val="single" w:sz="4" w:space="0" w:color="000000"/>
              <w:right w:val="single" w:sz="4" w:space="0" w:color="auto"/>
            </w:tcBorders>
            <w:vAlign w:val="center"/>
            <w:hideMark/>
          </w:tcPr>
          <w:p w14:paraId="5A13A6C4"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741" w:type="dxa"/>
            <w:vMerge w:val="restart"/>
            <w:tcBorders>
              <w:top w:val="nil"/>
              <w:left w:val="single" w:sz="4" w:space="0" w:color="auto"/>
              <w:bottom w:val="single" w:sz="4" w:space="0" w:color="auto"/>
              <w:right w:val="single" w:sz="4" w:space="0" w:color="auto"/>
            </w:tcBorders>
            <w:shd w:val="clear" w:color="auto" w:fill="auto"/>
            <w:vAlign w:val="center"/>
            <w:hideMark/>
          </w:tcPr>
          <w:p w14:paraId="3EF188D7"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SBFD UL</w:t>
            </w:r>
          </w:p>
        </w:tc>
        <w:tc>
          <w:tcPr>
            <w:tcW w:w="1236" w:type="dxa"/>
            <w:tcBorders>
              <w:top w:val="nil"/>
              <w:left w:val="nil"/>
              <w:bottom w:val="single" w:sz="4" w:space="0" w:color="auto"/>
              <w:right w:val="single" w:sz="4" w:space="0" w:color="auto"/>
            </w:tcBorders>
            <w:shd w:val="clear" w:color="auto" w:fill="auto"/>
            <w:vAlign w:val="center"/>
            <w:hideMark/>
          </w:tcPr>
          <w:p w14:paraId="531B7F90"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Option 1 (same size)</w:t>
            </w:r>
          </w:p>
        </w:tc>
        <w:tc>
          <w:tcPr>
            <w:tcW w:w="741" w:type="dxa"/>
            <w:vMerge/>
            <w:tcBorders>
              <w:top w:val="nil"/>
              <w:left w:val="single" w:sz="4" w:space="0" w:color="auto"/>
              <w:bottom w:val="single" w:sz="4" w:space="0" w:color="auto"/>
              <w:right w:val="single" w:sz="4" w:space="0" w:color="auto"/>
            </w:tcBorders>
            <w:vAlign w:val="center"/>
            <w:hideMark/>
          </w:tcPr>
          <w:p w14:paraId="60F9A0E3"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4" w:type="dxa"/>
            <w:vMerge/>
            <w:tcBorders>
              <w:top w:val="nil"/>
              <w:left w:val="single" w:sz="4" w:space="0" w:color="auto"/>
              <w:bottom w:val="single" w:sz="4" w:space="0" w:color="auto"/>
              <w:right w:val="single" w:sz="4" w:space="0" w:color="auto"/>
            </w:tcBorders>
            <w:vAlign w:val="center"/>
            <w:hideMark/>
          </w:tcPr>
          <w:p w14:paraId="639DFBAE"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85" w:type="dxa"/>
            <w:vMerge/>
            <w:tcBorders>
              <w:top w:val="nil"/>
              <w:left w:val="single" w:sz="4" w:space="0" w:color="auto"/>
              <w:bottom w:val="single" w:sz="4" w:space="0" w:color="auto"/>
              <w:right w:val="single" w:sz="4" w:space="0" w:color="auto"/>
            </w:tcBorders>
            <w:vAlign w:val="center"/>
            <w:hideMark/>
          </w:tcPr>
          <w:p w14:paraId="3ECD2C89"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2" w:type="dxa"/>
            <w:tcBorders>
              <w:top w:val="nil"/>
              <w:left w:val="nil"/>
              <w:bottom w:val="single" w:sz="4" w:space="0" w:color="auto"/>
              <w:right w:val="single" w:sz="4" w:space="0" w:color="auto"/>
            </w:tcBorders>
            <w:shd w:val="clear" w:color="auto" w:fill="auto"/>
            <w:noWrap/>
            <w:vAlign w:val="center"/>
            <w:hideMark/>
          </w:tcPr>
          <w:p w14:paraId="603253F1"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4" w:type="dxa"/>
            <w:tcBorders>
              <w:top w:val="nil"/>
              <w:left w:val="nil"/>
              <w:bottom w:val="single" w:sz="4" w:space="0" w:color="auto"/>
              <w:right w:val="single" w:sz="4" w:space="0" w:color="auto"/>
            </w:tcBorders>
            <w:shd w:val="clear" w:color="auto" w:fill="auto"/>
            <w:noWrap/>
            <w:vAlign w:val="center"/>
            <w:hideMark/>
          </w:tcPr>
          <w:p w14:paraId="05CB2C08"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3" w:type="dxa"/>
            <w:tcBorders>
              <w:top w:val="nil"/>
              <w:left w:val="nil"/>
              <w:bottom w:val="single" w:sz="4" w:space="0" w:color="auto"/>
              <w:right w:val="single" w:sz="4" w:space="0" w:color="auto"/>
            </w:tcBorders>
            <w:shd w:val="clear" w:color="auto" w:fill="auto"/>
            <w:noWrap/>
            <w:vAlign w:val="center"/>
            <w:hideMark/>
          </w:tcPr>
          <w:p w14:paraId="5E64DC76"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4" w:type="dxa"/>
            <w:tcBorders>
              <w:top w:val="nil"/>
              <w:left w:val="nil"/>
              <w:bottom w:val="single" w:sz="4" w:space="0" w:color="auto"/>
              <w:right w:val="single" w:sz="4" w:space="0" w:color="auto"/>
            </w:tcBorders>
            <w:shd w:val="clear" w:color="auto" w:fill="auto"/>
            <w:noWrap/>
            <w:vAlign w:val="center"/>
            <w:hideMark/>
          </w:tcPr>
          <w:p w14:paraId="5E6A857D"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0.02</w:t>
            </w:r>
          </w:p>
        </w:tc>
      </w:tr>
      <w:tr w:rsidR="004A43FF" w:rsidRPr="004A43FF" w14:paraId="5C99F996" w14:textId="77777777" w:rsidTr="00FC6DDC">
        <w:trPr>
          <w:trHeight w:val="352"/>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6964188E"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10%</w:t>
            </w:r>
          </w:p>
        </w:tc>
        <w:tc>
          <w:tcPr>
            <w:tcW w:w="985" w:type="dxa"/>
            <w:vMerge/>
            <w:tcBorders>
              <w:top w:val="nil"/>
              <w:left w:val="single" w:sz="4" w:space="0" w:color="auto"/>
              <w:bottom w:val="single" w:sz="4" w:space="0" w:color="000000"/>
              <w:right w:val="single" w:sz="4" w:space="0" w:color="auto"/>
            </w:tcBorders>
            <w:vAlign w:val="center"/>
            <w:hideMark/>
          </w:tcPr>
          <w:p w14:paraId="400EDC1F"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741" w:type="dxa"/>
            <w:vMerge/>
            <w:tcBorders>
              <w:top w:val="nil"/>
              <w:left w:val="single" w:sz="4" w:space="0" w:color="auto"/>
              <w:bottom w:val="single" w:sz="4" w:space="0" w:color="auto"/>
              <w:right w:val="single" w:sz="4" w:space="0" w:color="auto"/>
            </w:tcBorders>
            <w:vAlign w:val="center"/>
            <w:hideMark/>
          </w:tcPr>
          <w:p w14:paraId="151F779E"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236" w:type="dxa"/>
            <w:tcBorders>
              <w:top w:val="nil"/>
              <w:left w:val="nil"/>
              <w:bottom w:val="single" w:sz="4" w:space="0" w:color="auto"/>
              <w:right w:val="single" w:sz="4" w:space="0" w:color="auto"/>
            </w:tcBorders>
            <w:shd w:val="clear" w:color="auto" w:fill="auto"/>
            <w:vAlign w:val="center"/>
            <w:hideMark/>
          </w:tcPr>
          <w:p w14:paraId="733CA084"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Option 1 (same size)</w:t>
            </w:r>
          </w:p>
        </w:tc>
        <w:tc>
          <w:tcPr>
            <w:tcW w:w="741" w:type="dxa"/>
            <w:vMerge/>
            <w:tcBorders>
              <w:top w:val="nil"/>
              <w:left w:val="single" w:sz="4" w:space="0" w:color="auto"/>
              <w:bottom w:val="single" w:sz="4" w:space="0" w:color="auto"/>
              <w:right w:val="single" w:sz="4" w:space="0" w:color="auto"/>
            </w:tcBorders>
            <w:vAlign w:val="center"/>
            <w:hideMark/>
          </w:tcPr>
          <w:p w14:paraId="77E6EA07"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4" w:type="dxa"/>
            <w:vMerge/>
            <w:tcBorders>
              <w:top w:val="nil"/>
              <w:left w:val="single" w:sz="4" w:space="0" w:color="auto"/>
              <w:bottom w:val="single" w:sz="4" w:space="0" w:color="auto"/>
              <w:right w:val="single" w:sz="4" w:space="0" w:color="auto"/>
            </w:tcBorders>
            <w:vAlign w:val="center"/>
            <w:hideMark/>
          </w:tcPr>
          <w:p w14:paraId="70ACF4F8"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85" w:type="dxa"/>
            <w:vMerge/>
            <w:tcBorders>
              <w:top w:val="nil"/>
              <w:left w:val="single" w:sz="4" w:space="0" w:color="auto"/>
              <w:bottom w:val="single" w:sz="4" w:space="0" w:color="auto"/>
              <w:right w:val="single" w:sz="4" w:space="0" w:color="auto"/>
            </w:tcBorders>
            <w:vAlign w:val="center"/>
            <w:hideMark/>
          </w:tcPr>
          <w:p w14:paraId="363EB39F"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2" w:type="dxa"/>
            <w:tcBorders>
              <w:top w:val="nil"/>
              <w:left w:val="nil"/>
              <w:bottom w:val="single" w:sz="4" w:space="0" w:color="auto"/>
              <w:right w:val="single" w:sz="4" w:space="0" w:color="auto"/>
            </w:tcBorders>
            <w:shd w:val="clear" w:color="auto" w:fill="auto"/>
            <w:noWrap/>
            <w:vAlign w:val="center"/>
            <w:hideMark/>
          </w:tcPr>
          <w:p w14:paraId="1E7DB966"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4" w:type="dxa"/>
            <w:tcBorders>
              <w:top w:val="nil"/>
              <w:left w:val="nil"/>
              <w:bottom w:val="single" w:sz="4" w:space="0" w:color="auto"/>
              <w:right w:val="single" w:sz="4" w:space="0" w:color="auto"/>
            </w:tcBorders>
            <w:shd w:val="clear" w:color="auto" w:fill="auto"/>
            <w:noWrap/>
            <w:vAlign w:val="center"/>
            <w:hideMark/>
          </w:tcPr>
          <w:p w14:paraId="583E4157"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0.01</w:t>
            </w:r>
          </w:p>
        </w:tc>
        <w:tc>
          <w:tcPr>
            <w:tcW w:w="863" w:type="dxa"/>
            <w:tcBorders>
              <w:top w:val="nil"/>
              <w:left w:val="nil"/>
              <w:bottom w:val="single" w:sz="4" w:space="0" w:color="auto"/>
              <w:right w:val="single" w:sz="4" w:space="0" w:color="auto"/>
            </w:tcBorders>
            <w:shd w:val="clear" w:color="auto" w:fill="auto"/>
            <w:noWrap/>
            <w:vAlign w:val="center"/>
            <w:hideMark/>
          </w:tcPr>
          <w:p w14:paraId="675D84CA"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4" w:type="dxa"/>
            <w:tcBorders>
              <w:top w:val="nil"/>
              <w:left w:val="nil"/>
              <w:bottom w:val="single" w:sz="4" w:space="0" w:color="auto"/>
              <w:right w:val="single" w:sz="4" w:space="0" w:color="auto"/>
            </w:tcBorders>
            <w:shd w:val="clear" w:color="auto" w:fill="auto"/>
            <w:noWrap/>
            <w:vAlign w:val="center"/>
            <w:hideMark/>
          </w:tcPr>
          <w:p w14:paraId="09BC1F97"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0.02</w:t>
            </w:r>
          </w:p>
        </w:tc>
      </w:tr>
      <w:tr w:rsidR="004A43FF" w:rsidRPr="004A43FF" w14:paraId="51657A68" w14:textId="77777777" w:rsidTr="00FC6DDC">
        <w:trPr>
          <w:trHeight w:val="352"/>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1A08D52C"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100%</w:t>
            </w:r>
          </w:p>
        </w:tc>
        <w:tc>
          <w:tcPr>
            <w:tcW w:w="985" w:type="dxa"/>
            <w:vMerge/>
            <w:tcBorders>
              <w:top w:val="nil"/>
              <w:left w:val="single" w:sz="4" w:space="0" w:color="auto"/>
              <w:bottom w:val="single" w:sz="4" w:space="0" w:color="000000"/>
              <w:right w:val="single" w:sz="4" w:space="0" w:color="auto"/>
            </w:tcBorders>
            <w:vAlign w:val="center"/>
            <w:hideMark/>
          </w:tcPr>
          <w:p w14:paraId="5FE6BF1E"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741" w:type="dxa"/>
            <w:vMerge w:val="restart"/>
            <w:tcBorders>
              <w:top w:val="nil"/>
              <w:left w:val="single" w:sz="4" w:space="0" w:color="auto"/>
              <w:bottom w:val="single" w:sz="4" w:space="0" w:color="auto"/>
              <w:right w:val="single" w:sz="4" w:space="0" w:color="auto"/>
            </w:tcBorders>
            <w:shd w:val="clear" w:color="auto" w:fill="auto"/>
            <w:vAlign w:val="center"/>
            <w:hideMark/>
          </w:tcPr>
          <w:p w14:paraId="323EBC57"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SBFD DL</w:t>
            </w:r>
          </w:p>
        </w:tc>
        <w:tc>
          <w:tcPr>
            <w:tcW w:w="1236" w:type="dxa"/>
            <w:tcBorders>
              <w:top w:val="nil"/>
              <w:left w:val="nil"/>
              <w:bottom w:val="single" w:sz="4" w:space="0" w:color="auto"/>
              <w:right w:val="single" w:sz="4" w:space="0" w:color="auto"/>
            </w:tcBorders>
            <w:shd w:val="clear" w:color="auto" w:fill="auto"/>
            <w:vAlign w:val="center"/>
            <w:hideMark/>
          </w:tcPr>
          <w:p w14:paraId="2BCC124D"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Option 2 (same gain)</w:t>
            </w:r>
          </w:p>
        </w:tc>
        <w:tc>
          <w:tcPr>
            <w:tcW w:w="741" w:type="dxa"/>
            <w:vMerge w:val="restart"/>
            <w:tcBorders>
              <w:top w:val="nil"/>
              <w:left w:val="single" w:sz="4" w:space="0" w:color="auto"/>
              <w:bottom w:val="single" w:sz="4" w:space="0" w:color="auto"/>
              <w:right w:val="single" w:sz="4" w:space="0" w:color="auto"/>
            </w:tcBorders>
            <w:shd w:val="clear" w:color="auto" w:fill="auto"/>
            <w:vAlign w:val="center"/>
            <w:hideMark/>
          </w:tcPr>
          <w:p w14:paraId="4EE6CC65"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Option 2:</w:t>
            </w:r>
            <w:r w:rsidRPr="004A43FF">
              <w:rPr>
                <w:rFonts w:ascii="Times New Roman" w:eastAsia="Times New Roman" w:hAnsi="Times New Roman" w:cs="Times New Roman"/>
                <w:sz w:val="16"/>
                <w:szCs w:val="16"/>
                <w:lang w:val="en-US"/>
              </w:rPr>
              <w:br/>
              <w:t>SBFD: 30 dBm</w:t>
            </w:r>
          </w:p>
        </w:tc>
        <w:tc>
          <w:tcPr>
            <w:tcW w:w="804" w:type="dxa"/>
            <w:vMerge/>
            <w:tcBorders>
              <w:top w:val="nil"/>
              <w:left w:val="single" w:sz="4" w:space="0" w:color="auto"/>
              <w:bottom w:val="single" w:sz="4" w:space="0" w:color="auto"/>
              <w:right w:val="single" w:sz="4" w:space="0" w:color="auto"/>
            </w:tcBorders>
            <w:vAlign w:val="center"/>
            <w:hideMark/>
          </w:tcPr>
          <w:p w14:paraId="073C0FEB"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85" w:type="dxa"/>
            <w:vMerge/>
            <w:tcBorders>
              <w:top w:val="nil"/>
              <w:left w:val="single" w:sz="4" w:space="0" w:color="auto"/>
              <w:bottom w:val="single" w:sz="4" w:space="0" w:color="auto"/>
              <w:right w:val="single" w:sz="4" w:space="0" w:color="auto"/>
            </w:tcBorders>
            <w:vAlign w:val="center"/>
            <w:hideMark/>
          </w:tcPr>
          <w:p w14:paraId="263B59F4"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2" w:type="dxa"/>
            <w:tcBorders>
              <w:top w:val="nil"/>
              <w:left w:val="nil"/>
              <w:bottom w:val="single" w:sz="4" w:space="0" w:color="auto"/>
              <w:right w:val="single" w:sz="4" w:space="0" w:color="auto"/>
            </w:tcBorders>
            <w:shd w:val="clear" w:color="auto" w:fill="auto"/>
            <w:noWrap/>
            <w:vAlign w:val="center"/>
            <w:hideMark/>
          </w:tcPr>
          <w:p w14:paraId="4DF6A63A"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0.01</w:t>
            </w:r>
          </w:p>
        </w:tc>
        <w:tc>
          <w:tcPr>
            <w:tcW w:w="864" w:type="dxa"/>
            <w:tcBorders>
              <w:top w:val="nil"/>
              <w:left w:val="nil"/>
              <w:bottom w:val="single" w:sz="4" w:space="0" w:color="auto"/>
              <w:right w:val="single" w:sz="4" w:space="0" w:color="auto"/>
            </w:tcBorders>
            <w:shd w:val="clear" w:color="auto" w:fill="auto"/>
            <w:noWrap/>
            <w:vAlign w:val="center"/>
            <w:hideMark/>
          </w:tcPr>
          <w:p w14:paraId="0A53EEF1"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0.01</w:t>
            </w:r>
          </w:p>
        </w:tc>
        <w:tc>
          <w:tcPr>
            <w:tcW w:w="863" w:type="dxa"/>
            <w:tcBorders>
              <w:top w:val="nil"/>
              <w:left w:val="nil"/>
              <w:bottom w:val="single" w:sz="4" w:space="0" w:color="auto"/>
              <w:right w:val="single" w:sz="4" w:space="0" w:color="auto"/>
            </w:tcBorders>
            <w:shd w:val="clear" w:color="auto" w:fill="auto"/>
            <w:noWrap/>
            <w:vAlign w:val="center"/>
            <w:hideMark/>
          </w:tcPr>
          <w:p w14:paraId="51024E4B"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0.07</w:t>
            </w:r>
          </w:p>
        </w:tc>
        <w:tc>
          <w:tcPr>
            <w:tcW w:w="864" w:type="dxa"/>
            <w:tcBorders>
              <w:top w:val="nil"/>
              <w:left w:val="nil"/>
              <w:bottom w:val="single" w:sz="4" w:space="0" w:color="auto"/>
              <w:right w:val="single" w:sz="4" w:space="0" w:color="auto"/>
            </w:tcBorders>
            <w:shd w:val="clear" w:color="auto" w:fill="auto"/>
            <w:noWrap/>
            <w:vAlign w:val="center"/>
            <w:hideMark/>
          </w:tcPr>
          <w:p w14:paraId="60827CAB"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0.01</w:t>
            </w:r>
          </w:p>
        </w:tc>
      </w:tr>
      <w:tr w:rsidR="004A43FF" w:rsidRPr="004A43FF" w14:paraId="54AF45F1" w14:textId="77777777" w:rsidTr="00FC6DDC">
        <w:trPr>
          <w:trHeight w:val="352"/>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3D15B735"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10%</w:t>
            </w:r>
          </w:p>
        </w:tc>
        <w:tc>
          <w:tcPr>
            <w:tcW w:w="985" w:type="dxa"/>
            <w:vMerge/>
            <w:tcBorders>
              <w:top w:val="nil"/>
              <w:left w:val="single" w:sz="4" w:space="0" w:color="auto"/>
              <w:bottom w:val="single" w:sz="4" w:space="0" w:color="000000"/>
              <w:right w:val="single" w:sz="4" w:space="0" w:color="auto"/>
            </w:tcBorders>
            <w:vAlign w:val="center"/>
            <w:hideMark/>
          </w:tcPr>
          <w:p w14:paraId="0522346A"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741" w:type="dxa"/>
            <w:vMerge/>
            <w:tcBorders>
              <w:top w:val="nil"/>
              <w:left w:val="single" w:sz="4" w:space="0" w:color="auto"/>
              <w:bottom w:val="single" w:sz="4" w:space="0" w:color="auto"/>
              <w:right w:val="single" w:sz="4" w:space="0" w:color="auto"/>
            </w:tcBorders>
            <w:vAlign w:val="center"/>
            <w:hideMark/>
          </w:tcPr>
          <w:p w14:paraId="0C4176EA"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236" w:type="dxa"/>
            <w:tcBorders>
              <w:top w:val="nil"/>
              <w:left w:val="nil"/>
              <w:bottom w:val="single" w:sz="4" w:space="0" w:color="auto"/>
              <w:right w:val="single" w:sz="4" w:space="0" w:color="auto"/>
            </w:tcBorders>
            <w:shd w:val="clear" w:color="auto" w:fill="auto"/>
            <w:vAlign w:val="center"/>
            <w:hideMark/>
          </w:tcPr>
          <w:p w14:paraId="467BAF85"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Option 2 (same gain)</w:t>
            </w:r>
          </w:p>
        </w:tc>
        <w:tc>
          <w:tcPr>
            <w:tcW w:w="741" w:type="dxa"/>
            <w:vMerge/>
            <w:tcBorders>
              <w:top w:val="nil"/>
              <w:left w:val="single" w:sz="4" w:space="0" w:color="auto"/>
              <w:bottom w:val="single" w:sz="4" w:space="0" w:color="auto"/>
              <w:right w:val="single" w:sz="4" w:space="0" w:color="auto"/>
            </w:tcBorders>
            <w:vAlign w:val="center"/>
            <w:hideMark/>
          </w:tcPr>
          <w:p w14:paraId="12096A38"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4" w:type="dxa"/>
            <w:vMerge/>
            <w:tcBorders>
              <w:top w:val="nil"/>
              <w:left w:val="single" w:sz="4" w:space="0" w:color="auto"/>
              <w:bottom w:val="single" w:sz="4" w:space="0" w:color="auto"/>
              <w:right w:val="single" w:sz="4" w:space="0" w:color="auto"/>
            </w:tcBorders>
            <w:vAlign w:val="center"/>
            <w:hideMark/>
          </w:tcPr>
          <w:p w14:paraId="0E3CA536"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85" w:type="dxa"/>
            <w:vMerge/>
            <w:tcBorders>
              <w:top w:val="nil"/>
              <w:left w:val="single" w:sz="4" w:space="0" w:color="auto"/>
              <w:bottom w:val="single" w:sz="4" w:space="0" w:color="auto"/>
              <w:right w:val="single" w:sz="4" w:space="0" w:color="auto"/>
            </w:tcBorders>
            <w:vAlign w:val="center"/>
            <w:hideMark/>
          </w:tcPr>
          <w:p w14:paraId="479ACB4E"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2" w:type="dxa"/>
            <w:tcBorders>
              <w:top w:val="nil"/>
              <w:left w:val="nil"/>
              <w:bottom w:val="single" w:sz="4" w:space="0" w:color="auto"/>
              <w:right w:val="single" w:sz="4" w:space="0" w:color="auto"/>
            </w:tcBorders>
            <w:shd w:val="clear" w:color="auto" w:fill="auto"/>
            <w:noWrap/>
            <w:vAlign w:val="center"/>
            <w:hideMark/>
          </w:tcPr>
          <w:p w14:paraId="18763C24"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0.01</w:t>
            </w:r>
          </w:p>
        </w:tc>
        <w:tc>
          <w:tcPr>
            <w:tcW w:w="864" w:type="dxa"/>
            <w:tcBorders>
              <w:top w:val="nil"/>
              <w:left w:val="nil"/>
              <w:bottom w:val="single" w:sz="4" w:space="0" w:color="auto"/>
              <w:right w:val="single" w:sz="4" w:space="0" w:color="auto"/>
            </w:tcBorders>
            <w:shd w:val="clear" w:color="auto" w:fill="auto"/>
            <w:noWrap/>
            <w:vAlign w:val="center"/>
            <w:hideMark/>
          </w:tcPr>
          <w:p w14:paraId="0AEDEB87"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3" w:type="dxa"/>
            <w:tcBorders>
              <w:top w:val="nil"/>
              <w:left w:val="nil"/>
              <w:bottom w:val="single" w:sz="4" w:space="0" w:color="auto"/>
              <w:right w:val="single" w:sz="4" w:space="0" w:color="auto"/>
            </w:tcBorders>
            <w:shd w:val="clear" w:color="auto" w:fill="auto"/>
            <w:noWrap/>
            <w:vAlign w:val="center"/>
            <w:hideMark/>
          </w:tcPr>
          <w:p w14:paraId="6471413B"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0.1</w:t>
            </w:r>
          </w:p>
        </w:tc>
        <w:tc>
          <w:tcPr>
            <w:tcW w:w="864" w:type="dxa"/>
            <w:tcBorders>
              <w:top w:val="nil"/>
              <w:left w:val="nil"/>
              <w:bottom w:val="single" w:sz="4" w:space="0" w:color="auto"/>
              <w:right w:val="single" w:sz="4" w:space="0" w:color="auto"/>
            </w:tcBorders>
            <w:shd w:val="clear" w:color="auto" w:fill="auto"/>
            <w:noWrap/>
            <w:vAlign w:val="center"/>
            <w:hideMark/>
          </w:tcPr>
          <w:p w14:paraId="67E04E32"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0.01</w:t>
            </w:r>
          </w:p>
        </w:tc>
      </w:tr>
      <w:tr w:rsidR="004A43FF" w:rsidRPr="004A43FF" w14:paraId="3F5B2B35" w14:textId="77777777" w:rsidTr="00FC6DDC">
        <w:trPr>
          <w:trHeight w:val="352"/>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631B22C3"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100%</w:t>
            </w:r>
          </w:p>
        </w:tc>
        <w:tc>
          <w:tcPr>
            <w:tcW w:w="985" w:type="dxa"/>
            <w:vMerge/>
            <w:tcBorders>
              <w:top w:val="nil"/>
              <w:left w:val="single" w:sz="4" w:space="0" w:color="auto"/>
              <w:bottom w:val="single" w:sz="4" w:space="0" w:color="000000"/>
              <w:right w:val="single" w:sz="4" w:space="0" w:color="auto"/>
            </w:tcBorders>
            <w:vAlign w:val="center"/>
            <w:hideMark/>
          </w:tcPr>
          <w:p w14:paraId="2311887B"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741" w:type="dxa"/>
            <w:vMerge w:val="restart"/>
            <w:tcBorders>
              <w:top w:val="nil"/>
              <w:left w:val="single" w:sz="4" w:space="0" w:color="auto"/>
              <w:bottom w:val="single" w:sz="4" w:space="0" w:color="auto"/>
              <w:right w:val="single" w:sz="4" w:space="0" w:color="auto"/>
            </w:tcBorders>
            <w:shd w:val="clear" w:color="auto" w:fill="auto"/>
            <w:vAlign w:val="center"/>
            <w:hideMark/>
          </w:tcPr>
          <w:p w14:paraId="72AD90E6"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SBFD UL</w:t>
            </w:r>
          </w:p>
        </w:tc>
        <w:tc>
          <w:tcPr>
            <w:tcW w:w="1236" w:type="dxa"/>
            <w:tcBorders>
              <w:top w:val="nil"/>
              <w:left w:val="nil"/>
              <w:bottom w:val="single" w:sz="4" w:space="0" w:color="auto"/>
              <w:right w:val="single" w:sz="4" w:space="0" w:color="auto"/>
            </w:tcBorders>
            <w:shd w:val="clear" w:color="auto" w:fill="auto"/>
            <w:vAlign w:val="center"/>
            <w:hideMark/>
          </w:tcPr>
          <w:p w14:paraId="079CCCEE"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Option 2 (same gain)</w:t>
            </w:r>
          </w:p>
        </w:tc>
        <w:tc>
          <w:tcPr>
            <w:tcW w:w="741" w:type="dxa"/>
            <w:vMerge/>
            <w:tcBorders>
              <w:top w:val="nil"/>
              <w:left w:val="single" w:sz="4" w:space="0" w:color="auto"/>
              <w:bottom w:val="single" w:sz="4" w:space="0" w:color="auto"/>
              <w:right w:val="single" w:sz="4" w:space="0" w:color="auto"/>
            </w:tcBorders>
            <w:vAlign w:val="center"/>
            <w:hideMark/>
          </w:tcPr>
          <w:p w14:paraId="256E863A"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4" w:type="dxa"/>
            <w:vMerge/>
            <w:tcBorders>
              <w:top w:val="nil"/>
              <w:left w:val="single" w:sz="4" w:space="0" w:color="auto"/>
              <w:bottom w:val="single" w:sz="4" w:space="0" w:color="auto"/>
              <w:right w:val="single" w:sz="4" w:space="0" w:color="auto"/>
            </w:tcBorders>
            <w:vAlign w:val="center"/>
            <w:hideMark/>
          </w:tcPr>
          <w:p w14:paraId="1C2028A7"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85" w:type="dxa"/>
            <w:vMerge/>
            <w:tcBorders>
              <w:top w:val="nil"/>
              <w:left w:val="single" w:sz="4" w:space="0" w:color="auto"/>
              <w:bottom w:val="single" w:sz="4" w:space="0" w:color="auto"/>
              <w:right w:val="single" w:sz="4" w:space="0" w:color="auto"/>
            </w:tcBorders>
            <w:vAlign w:val="center"/>
            <w:hideMark/>
          </w:tcPr>
          <w:p w14:paraId="18C45062"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2" w:type="dxa"/>
            <w:tcBorders>
              <w:top w:val="nil"/>
              <w:left w:val="nil"/>
              <w:bottom w:val="single" w:sz="4" w:space="0" w:color="auto"/>
              <w:right w:val="single" w:sz="4" w:space="0" w:color="auto"/>
            </w:tcBorders>
            <w:shd w:val="clear" w:color="auto" w:fill="auto"/>
            <w:noWrap/>
            <w:vAlign w:val="center"/>
            <w:hideMark/>
          </w:tcPr>
          <w:p w14:paraId="3E4C7E8B"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4" w:type="dxa"/>
            <w:tcBorders>
              <w:top w:val="nil"/>
              <w:left w:val="nil"/>
              <w:bottom w:val="single" w:sz="4" w:space="0" w:color="auto"/>
              <w:right w:val="single" w:sz="4" w:space="0" w:color="auto"/>
            </w:tcBorders>
            <w:shd w:val="clear" w:color="auto" w:fill="auto"/>
            <w:noWrap/>
            <w:vAlign w:val="center"/>
            <w:hideMark/>
          </w:tcPr>
          <w:p w14:paraId="179F6427"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0.01</w:t>
            </w:r>
          </w:p>
        </w:tc>
        <w:tc>
          <w:tcPr>
            <w:tcW w:w="863" w:type="dxa"/>
            <w:tcBorders>
              <w:top w:val="nil"/>
              <w:left w:val="nil"/>
              <w:bottom w:val="single" w:sz="4" w:space="0" w:color="auto"/>
              <w:right w:val="single" w:sz="4" w:space="0" w:color="auto"/>
            </w:tcBorders>
            <w:shd w:val="clear" w:color="auto" w:fill="auto"/>
            <w:noWrap/>
            <w:vAlign w:val="center"/>
            <w:hideMark/>
          </w:tcPr>
          <w:p w14:paraId="58D1F4D9"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4" w:type="dxa"/>
            <w:tcBorders>
              <w:top w:val="nil"/>
              <w:left w:val="nil"/>
              <w:bottom w:val="single" w:sz="4" w:space="0" w:color="auto"/>
              <w:right w:val="single" w:sz="4" w:space="0" w:color="auto"/>
            </w:tcBorders>
            <w:shd w:val="clear" w:color="auto" w:fill="auto"/>
            <w:noWrap/>
            <w:vAlign w:val="center"/>
            <w:hideMark/>
          </w:tcPr>
          <w:p w14:paraId="09AB0A05"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0.02</w:t>
            </w:r>
          </w:p>
        </w:tc>
      </w:tr>
      <w:tr w:rsidR="004A43FF" w:rsidRPr="004A43FF" w14:paraId="7E1247FB" w14:textId="77777777" w:rsidTr="00FC6DDC">
        <w:trPr>
          <w:trHeight w:val="352"/>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27955CD6"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10%</w:t>
            </w:r>
          </w:p>
        </w:tc>
        <w:tc>
          <w:tcPr>
            <w:tcW w:w="985" w:type="dxa"/>
            <w:vMerge/>
            <w:tcBorders>
              <w:top w:val="nil"/>
              <w:left w:val="single" w:sz="4" w:space="0" w:color="auto"/>
              <w:bottom w:val="single" w:sz="4" w:space="0" w:color="000000"/>
              <w:right w:val="single" w:sz="4" w:space="0" w:color="auto"/>
            </w:tcBorders>
            <w:vAlign w:val="center"/>
            <w:hideMark/>
          </w:tcPr>
          <w:p w14:paraId="28173A49"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741" w:type="dxa"/>
            <w:vMerge/>
            <w:tcBorders>
              <w:top w:val="nil"/>
              <w:left w:val="single" w:sz="4" w:space="0" w:color="auto"/>
              <w:bottom w:val="single" w:sz="4" w:space="0" w:color="auto"/>
              <w:right w:val="single" w:sz="4" w:space="0" w:color="auto"/>
            </w:tcBorders>
            <w:vAlign w:val="center"/>
            <w:hideMark/>
          </w:tcPr>
          <w:p w14:paraId="1E23D35F"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1236" w:type="dxa"/>
            <w:tcBorders>
              <w:top w:val="nil"/>
              <w:left w:val="nil"/>
              <w:bottom w:val="single" w:sz="4" w:space="0" w:color="auto"/>
              <w:right w:val="single" w:sz="4" w:space="0" w:color="auto"/>
            </w:tcBorders>
            <w:shd w:val="clear" w:color="auto" w:fill="auto"/>
            <w:vAlign w:val="center"/>
            <w:hideMark/>
          </w:tcPr>
          <w:p w14:paraId="5F70969C" w14:textId="77777777" w:rsidR="004A43FF" w:rsidRPr="004A43FF" w:rsidRDefault="004A43FF" w:rsidP="00C61E0E">
            <w:pPr>
              <w:overflowPunct/>
              <w:autoSpaceDE/>
              <w:autoSpaceDN/>
              <w:adjustRightInd/>
              <w:spacing w:after="0"/>
              <w:jc w:val="center"/>
              <w:textAlignment w:val="auto"/>
              <w:rPr>
                <w:rFonts w:ascii="Times New Roman" w:eastAsia="Times New Roman" w:hAnsi="Times New Roman" w:cs="Times New Roman"/>
                <w:sz w:val="16"/>
                <w:szCs w:val="16"/>
                <w:lang w:val="en-US"/>
              </w:rPr>
            </w:pPr>
            <w:r w:rsidRPr="004A43FF">
              <w:rPr>
                <w:rFonts w:ascii="Times New Roman" w:eastAsia="Times New Roman" w:hAnsi="Times New Roman" w:cs="Times New Roman"/>
                <w:sz w:val="16"/>
                <w:szCs w:val="16"/>
                <w:lang w:val="en-US"/>
              </w:rPr>
              <w:t>Option 2 (same gain)</w:t>
            </w:r>
          </w:p>
        </w:tc>
        <w:tc>
          <w:tcPr>
            <w:tcW w:w="741" w:type="dxa"/>
            <w:vMerge/>
            <w:tcBorders>
              <w:top w:val="nil"/>
              <w:left w:val="single" w:sz="4" w:space="0" w:color="auto"/>
              <w:bottom w:val="single" w:sz="4" w:space="0" w:color="auto"/>
              <w:right w:val="single" w:sz="4" w:space="0" w:color="auto"/>
            </w:tcBorders>
            <w:vAlign w:val="center"/>
            <w:hideMark/>
          </w:tcPr>
          <w:p w14:paraId="7D4EDA3A"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04" w:type="dxa"/>
            <w:vMerge/>
            <w:tcBorders>
              <w:top w:val="nil"/>
              <w:left w:val="single" w:sz="4" w:space="0" w:color="auto"/>
              <w:bottom w:val="single" w:sz="4" w:space="0" w:color="auto"/>
              <w:right w:val="single" w:sz="4" w:space="0" w:color="auto"/>
            </w:tcBorders>
            <w:vAlign w:val="center"/>
            <w:hideMark/>
          </w:tcPr>
          <w:p w14:paraId="5516D110"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985" w:type="dxa"/>
            <w:vMerge/>
            <w:tcBorders>
              <w:top w:val="nil"/>
              <w:left w:val="single" w:sz="4" w:space="0" w:color="auto"/>
              <w:bottom w:val="single" w:sz="4" w:space="0" w:color="auto"/>
              <w:right w:val="single" w:sz="4" w:space="0" w:color="auto"/>
            </w:tcBorders>
            <w:vAlign w:val="center"/>
            <w:hideMark/>
          </w:tcPr>
          <w:p w14:paraId="675F4587" w14:textId="77777777" w:rsidR="004A43FF" w:rsidRPr="004A43FF" w:rsidRDefault="004A43FF" w:rsidP="00C61E0E">
            <w:pPr>
              <w:overflowPunct/>
              <w:autoSpaceDE/>
              <w:autoSpaceDN/>
              <w:adjustRightInd/>
              <w:spacing w:after="0"/>
              <w:textAlignment w:val="auto"/>
              <w:rPr>
                <w:rFonts w:ascii="Times New Roman" w:eastAsia="Times New Roman" w:hAnsi="Times New Roman" w:cs="Times New Roman"/>
                <w:sz w:val="16"/>
                <w:szCs w:val="16"/>
                <w:lang w:val="en-US"/>
              </w:rPr>
            </w:pPr>
          </w:p>
        </w:tc>
        <w:tc>
          <w:tcPr>
            <w:tcW w:w="862" w:type="dxa"/>
            <w:tcBorders>
              <w:top w:val="nil"/>
              <w:left w:val="nil"/>
              <w:bottom w:val="single" w:sz="4" w:space="0" w:color="auto"/>
              <w:right w:val="single" w:sz="4" w:space="0" w:color="auto"/>
            </w:tcBorders>
            <w:shd w:val="clear" w:color="auto" w:fill="auto"/>
            <w:noWrap/>
            <w:vAlign w:val="center"/>
            <w:hideMark/>
          </w:tcPr>
          <w:p w14:paraId="4CFB2967"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4" w:type="dxa"/>
            <w:tcBorders>
              <w:top w:val="nil"/>
              <w:left w:val="nil"/>
              <w:bottom w:val="single" w:sz="4" w:space="0" w:color="auto"/>
              <w:right w:val="single" w:sz="4" w:space="0" w:color="auto"/>
            </w:tcBorders>
            <w:shd w:val="clear" w:color="auto" w:fill="auto"/>
            <w:noWrap/>
            <w:vAlign w:val="center"/>
            <w:hideMark/>
          </w:tcPr>
          <w:p w14:paraId="5A703AB2"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3" w:type="dxa"/>
            <w:tcBorders>
              <w:top w:val="nil"/>
              <w:left w:val="nil"/>
              <w:bottom w:val="single" w:sz="4" w:space="0" w:color="auto"/>
              <w:right w:val="single" w:sz="4" w:space="0" w:color="auto"/>
            </w:tcBorders>
            <w:shd w:val="clear" w:color="auto" w:fill="auto"/>
            <w:noWrap/>
            <w:vAlign w:val="center"/>
            <w:hideMark/>
          </w:tcPr>
          <w:p w14:paraId="1E88962F"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w:t>
            </w:r>
          </w:p>
        </w:tc>
        <w:tc>
          <w:tcPr>
            <w:tcW w:w="864" w:type="dxa"/>
            <w:tcBorders>
              <w:top w:val="nil"/>
              <w:left w:val="nil"/>
              <w:bottom w:val="single" w:sz="4" w:space="0" w:color="auto"/>
              <w:right w:val="single" w:sz="4" w:space="0" w:color="auto"/>
            </w:tcBorders>
            <w:shd w:val="clear" w:color="auto" w:fill="auto"/>
            <w:noWrap/>
            <w:vAlign w:val="center"/>
            <w:hideMark/>
          </w:tcPr>
          <w:p w14:paraId="78F6428B" w14:textId="77777777" w:rsidR="004A43FF" w:rsidRPr="004A43FF" w:rsidRDefault="004A43FF" w:rsidP="00C61E0E">
            <w:pPr>
              <w:overflowPunct/>
              <w:autoSpaceDE/>
              <w:autoSpaceDN/>
              <w:adjustRightInd/>
              <w:spacing w:after="0"/>
              <w:jc w:val="right"/>
              <w:textAlignment w:val="auto"/>
              <w:rPr>
                <w:rFonts w:ascii="Times New Roman" w:eastAsia="Times New Roman" w:hAnsi="Times New Roman" w:cs="Times New Roman"/>
                <w:color w:val="000000"/>
                <w:sz w:val="16"/>
                <w:szCs w:val="16"/>
                <w:lang w:val="en-US"/>
              </w:rPr>
            </w:pPr>
            <w:r w:rsidRPr="004A43FF">
              <w:rPr>
                <w:rFonts w:ascii="Times New Roman" w:eastAsia="Times New Roman" w:hAnsi="Times New Roman" w:cs="Times New Roman"/>
                <w:color w:val="000000"/>
                <w:sz w:val="16"/>
                <w:szCs w:val="16"/>
                <w:lang w:val="en-US"/>
              </w:rPr>
              <w:t>0.01</w:t>
            </w:r>
          </w:p>
        </w:tc>
      </w:tr>
    </w:tbl>
    <w:p w14:paraId="5021CB54" w14:textId="77777777" w:rsidR="00C61E0E" w:rsidRDefault="00C61E0E" w:rsidP="00AE1252">
      <w:pPr>
        <w:overflowPunct/>
        <w:autoSpaceDE/>
        <w:autoSpaceDN/>
        <w:adjustRightInd/>
        <w:spacing w:after="0"/>
        <w:jc w:val="both"/>
        <w:textAlignment w:val="auto"/>
        <w:rPr>
          <w:rFonts w:ascii="Times New Roman" w:hAnsi="Times New Roman" w:cs="Times New Roman"/>
          <w:b/>
          <w:bCs/>
          <w:lang w:eastAsia="zh-CN"/>
        </w:rPr>
      </w:pPr>
    </w:p>
    <w:p w14:paraId="43D48CF0" w14:textId="77777777" w:rsidR="003947A4" w:rsidRDefault="003947A4" w:rsidP="003947A4">
      <w:pPr>
        <w:rPr>
          <w:lang w:val="en-US"/>
        </w:rPr>
      </w:pPr>
      <w:r>
        <w:rPr>
          <w:lang w:val="en-US"/>
        </w:rPr>
        <w:t>Based on the results above, the following recommendations are proposed for this scenario and case:</w:t>
      </w:r>
    </w:p>
    <w:p w14:paraId="1AB6AF3E" w14:textId="4BFA2764" w:rsidR="0082429C" w:rsidRPr="006B4412" w:rsidRDefault="0082429C" w:rsidP="0082429C">
      <w:pPr>
        <w:rPr>
          <w:b/>
          <w:bCs/>
        </w:rPr>
      </w:pPr>
      <w:r w:rsidRPr="009D3E26">
        <w:rPr>
          <w:b/>
          <w:bCs/>
          <w:lang w:val="en-US"/>
        </w:rPr>
        <w:t xml:space="preserve">Proposal </w:t>
      </w:r>
      <w:r w:rsidR="007C462B">
        <w:rPr>
          <w:b/>
          <w:bCs/>
          <w:lang w:val="en-US"/>
        </w:rPr>
        <w:t>30</w:t>
      </w:r>
      <w:r w:rsidRPr="009D3E26">
        <w:rPr>
          <w:b/>
          <w:bCs/>
          <w:lang w:val="en-US"/>
        </w:rPr>
        <w:t xml:space="preserve">: </w:t>
      </w:r>
      <w:r w:rsidRPr="006B4412">
        <w:rPr>
          <w:b/>
          <w:bCs/>
        </w:rPr>
        <w:t xml:space="preserve">The </w:t>
      </w:r>
      <w:r>
        <w:rPr>
          <w:b/>
          <w:bCs/>
        </w:rPr>
        <w:t xml:space="preserve">SBFD DL </w:t>
      </w:r>
      <w:r w:rsidRPr="006B4412">
        <w:rPr>
          <w:b/>
          <w:bCs/>
        </w:rPr>
        <w:t>performance degradation for U</w:t>
      </w:r>
      <w:r>
        <w:rPr>
          <w:b/>
          <w:bCs/>
        </w:rPr>
        <w:t>rban Macro</w:t>
      </w:r>
      <w:r w:rsidRPr="006B4412">
        <w:rPr>
          <w:b/>
          <w:bCs/>
        </w:rPr>
        <w:t xml:space="preserve"> </w:t>
      </w:r>
      <w:r>
        <w:rPr>
          <w:b/>
          <w:bCs/>
        </w:rPr>
        <w:t xml:space="preserve">FR2-1 </w:t>
      </w:r>
      <w:r w:rsidRPr="006B4412">
        <w:rPr>
          <w:b/>
          <w:bCs/>
        </w:rPr>
        <w:t xml:space="preserve">Case </w:t>
      </w:r>
      <w:r>
        <w:rPr>
          <w:b/>
          <w:bCs/>
        </w:rPr>
        <w:t>4</w:t>
      </w:r>
      <w:r w:rsidRPr="006B4412">
        <w:rPr>
          <w:b/>
          <w:bCs/>
        </w:rPr>
        <w:t xml:space="preserve"> is acceptable when </w:t>
      </w:r>
      <w:r>
        <w:rPr>
          <w:b/>
          <w:bCs/>
        </w:rPr>
        <w:t>TDD UL is adopted in the aggressor network.</w:t>
      </w:r>
    </w:p>
    <w:p w14:paraId="6D6DAE98" w14:textId="56C6134C" w:rsidR="0082429C" w:rsidRPr="00BF50E7" w:rsidRDefault="0082429C" w:rsidP="0082429C">
      <w:pPr>
        <w:rPr>
          <w:lang w:val="en-US"/>
        </w:rPr>
      </w:pPr>
      <w:r w:rsidRPr="009D3E26">
        <w:rPr>
          <w:b/>
          <w:bCs/>
          <w:lang w:val="en-US"/>
        </w:rPr>
        <w:t xml:space="preserve">Proposal </w:t>
      </w:r>
      <w:r w:rsidR="005111B2">
        <w:rPr>
          <w:b/>
          <w:bCs/>
          <w:lang w:val="en-US"/>
        </w:rPr>
        <w:t>3</w:t>
      </w:r>
      <w:r w:rsidR="007C462B">
        <w:rPr>
          <w:b/>
          <w:bCs/>
          <w:lang w:val="en-US"/>
        </w:rPr>
        <w:t>1</w:t>
      </w:r>
      <w:r w:rsidRPr="009D3E26">
        <w:rPr>
          <w:b/>
          <w:bCs/>
          <w:lang w:val="en-US"/>
        </w:rPr>
        <w:t xml:space="preserve">: </w:t>
      </w:r>
      <w:r w:rsidRPr="006B4412">
        <w:rPr>
          <w:b/>
          <w:bCs/>
        </w:rPr>
        <w:t xml:space="preserve">The </w:t>
      </w:r>
      <w:r>
        <w:rPr>
          <w:b/>
          <w:bCs/>
        </w:rPr>
        <w:t xml:space="preserve">SBFD UL </w:t>
      </w:r>
      <w:r w:rsidRPr="006B4412">
        <w:rPr>
          <w:b/>
          <w:bCs/>
        </w:rPr>
        <w:t>performance degradation for U</w:t>
      </w:r>
      <w:r>
        <w:rPr>
          <w:b/>
          <w:bCs/>
        </w:rPr>
        <w:t>rban Macro</w:t>
      </w:r>
      <w:r w:rsidRPr="006B4412">
        <w:rPr>
          <w:b/>
          <w:bCs/>
        </w:rPr>
        <w:t xml:space="preserve"> </w:t>
      </w:r>
      <w:r>
        <w:rPr>
          <w:b/>
          <w:bCs/>
        </w:rPr>
        <w:t xml:space="preserve">FR2-1 </w:t>
      </w:r>
      <w:r w:rsidRPr="006B4412">
        <w:rPr>
          <w:b/>
          <w:bCs/>
        </w:rPr>
        <w:t xml:space="preserve">Case </w:t>
      </w:r>
      <w:r>
        <w:rPr>
          <w:b/>
          <w:bCs/>
        </w:rPr>
        <w:t>4</w:t>
      </w:r>
      <w:r w:rsidRPr="006B4412">
        <w:rPr>
          <w:b/>
          <w:bCs/>
        </w:rPr>
        <w:t xml:space="preserve"> is acceptable when </w:t>
      </w:r>
      <w:r>
        <w:rPr>
          <w:b/>
          <w:bCs/>
        </w:rPr>
        <w:t>TDD UL is adopted in the aggressor network.</w:t>
      </w:r>
    </w:p>
    <w:p w14:paraId="1EF18929" w14:textId="77777777" w:rsidR="003947A4" w:rsidRDefault="003947A4" w:rsidP="00AE1252">
      <w:pPr>
        <w:overflowPunct/>
        <w:autoSpaceDE/>
        <w:autoSpaceDN/>
        <w:adjustRightInd/>
        <w:spacing w:after="0"/>
        <w:jc w:val="both"/>
        <w:textAlignment w:val="auto"/>
        <w:rPr>
          <w:rFonts w:ascii="Times New Roman" w:hAnsi="Times New Roman" w:cs="Times New Roman"/>
          <w:b/>
          <w:bCs/>
          <w:lang w:eastAsia="zh-CN"/>
        </w:rPr>
      </w:pPr>
    </w:p>
    <w:bookmarkEnd w:id="1"/>
    <w:p w14:paraId="05215B92" w14:textId="77777777" w:rsidR="00B06DDF" w:rsidRPr="00C51176" w:rsidRDefault="00B06DDF" w:rsidP="007E4424">
      <w:pPr>
        <w:pStyle w:val="Heading1"/>
        <w:numPr>
          <w:ilvl w:val="0"/>
          <w:numId w:val="13"/>
        </w:numPr>
        <w:rPr>
          <w:rFonts w:ascii="Arial" w:hAnsi="Arial" w:cs="Arial"/>
          <w:color w:val="FF0000"/>
          <w:lang w:val="en-US"/>
        </w:rPr>
      </w:pPr>
      <w:r w:rsidRPr="00C51176">
        <w:rPr>
          <w:rFonts w:ascii="Arial" w:hAnsi="Arial" w:cs="Arial"/>
          <w:lang w:val="en-US"/>
        </w:rPr>
        <w:t>Conclusion</w:t>
      </w:r>
    </w:p>
    <w:p w14:paraId="7111615E" w14:textId="0178E8F9" w:rsidR="007E4424" w:rsidRPr="00C51176" w:rsidRDefault="00B06DDF" w:rsidP="007E4424">
      <w:pPr>
        <w:rPr>
          <w:rFonts w:ascii="Times New Roman" w:hAnsi="Times New Roman" w:cs="Times New Roman"/>
          <w:lang w:val="en-US"/>
        </w:rPr>
      </w:pPr>
      <w:r w:rsidRPr="00C51176">
        <w:rPr>
          <w:rFonts w:ascii="Times New Roman" w:hAnsi="Times New Roman" w:cs="Times New Roman"/>
          <w:lang w:val="en-US"/>
        </w:rPr>
        <w:t>In this contribution</w:t>
      </w:r>
      <w:r w:rsidR="00653BFF" w:rsidRPr="00C51176">
        <w:rPr>
          <w:rFonts w:ascii="Times New Roman" w:hAnsi="Times New Roman" w:cs="Times New Roman"/>
          <w:lang w:val="en-US"/>
        </w:rPr>
        <w:t xml:space="preserve"> the f</w:t>
      </w:r>
      <w:r w:rsidRPr="00C51176">
        <w:rPr>
          <w:rFonts w:ascii="Times New Roman" w:hAnsi="Times New Roman" w:cs="Times New Roman"/>
          <w:lang w:val="en-US"/>
        </w:rPr>
        <w:t>ollowing observations and proposals were made:</w:t>
      </w:r>
    </w:p>
    <w:p w14:paraId="7BAEA13B" w14:textId="77777777" w:rsidR="0082329F" w:rsidRPr="00A7265C" w:rsidRDefault="0082329F" w:rsidP="0082329F">
      <w:pPr>
        <w:jc w:val="both"/>
        <w:rPr>
          <w:b/>
          <w:bCs/>
          <w:lang w:val="en-US"/>
        </w:rPr>
      </w:pPr>
      <w:r w:rsidRPr="00A7265C">
        <w:rPr>
          <w:b/>
          <w:bCs/>
          <w:lang w:val="en-US"/>
        </w:rPr>
        <w:t xml:space="preserve">Proposal </w:t>
      </w:r>
      <w:r>
        <w:rPr>
          <w:b/>
          <w:bCs/>
          <w:lang w:val="en-US"/>
        </w:rPr>
        <w:t>1</w:t>
      </w:r>
      <w:r w:rsidRPr="00A7265C">
        <w:rPr>
          <w:b/>
          <w:bCs/>
          <w:lang w:val="en-US"/>
        </w:rPr>
        <w:t>: Consider the following update on the adjacent channel interference calculation for the input power of the blocking model:</w:t>
      </w:r>
    </w:p>
    <w:p w14:paraId="756C3BD5" w14:textId="77777777" w:rsidR="0082329F" w:rsidRPr="00824E3C" w:rsidRDefault="0082329F" w:rsidP="0082329F">
      <w:pPr>
        <w:pStyle w:val="ListParagraph"/>
        <w:numPr>
          <w:ilvl w:val="0"/>
          <w:numId w:val="119"/>
        </w:numPr>
        <w:rPr>
          <w:lang w:val="en-US"/>
        </w:rPr>
      </w:pPr>
      <w:r w:rsidRPr="00824E3C">
        <w:rPr>
          <w:rFonts w:ascii="Cambria Math" w:hAnsi="Cambria Math"/>
          <w:i/>
          <w:iCs/>
          <w:lang w:val="en-US"/>
        </w:rPr>
        <w:t>I</w:t>
      </w:r>
      <w:r w:rsidRPr="00824E3C">
        <w:rPr>
          <w:rFonts w:ascii="Cambria Math" w:hAnsi="Cambria Math"/>
          <w:i/>
          <w:iCs/>
          <w:vertAlign w:val="subscript"/>
          <w:lang w:val="en-US"/>
        </w:rPr>
        <w:t>ACI</w:t>
      </w:r>
      <w:r w:rsidRPr="00824E3C">
        <w:rPr>
          <w:lang w:val="en-US"/>
        </w:rPr>
        <w:t xml:space="preserve"> is the sum of the adjacent channel interference from gNB transmitting on the DL channel in the aggressor network and the adjacent channel interference from UEs transmitting on the UL channel in the aggressor network. The interference level is calculated as:</w:t>
      </w:r>
    </w:p>
    <w:p w14:paraId="54404DB1" w14:textId="77777777" w:rsidR="0082329F" w:rsidRPr="00A7265C" w:rsidRDefault="00A861FC" w:rsidP="0082329F">
      <w:pPr>
        <w:pStyle w:val="ListParagraph"/>
        <w:jc w:val="both"/>
        <w:rPr>
          <w:b/>
          <w:bCs/>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hint="eastAsia"/>
                      <w:lang w:val="en-US"/>
                    </w:rPr>
                    <m:t>adjacent network gNB</m:t>
                  </m:r>
                  <m:r>
                    <w:rPr>
                      <w:rFonts w:ascii="Cambria Math" w:hAnsi="Cambria Math" w:hint="eastAsia"/>
                      <w:lang w:val="en-US"/>
                    </w:rPr>
                    <m:t>→</m:t>
                  </m:r>
                  <m:r>
                    <w:rPr>
                      <w:rFonts w:ascii="Cambria Math" w:hAnsi="Cambria Math" w:hint="eastAsia"/>
                      <w:lang w:val="en-US"/>
                    </w:rPr>
                    <m:t>serving gNB</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hint="eastAsia"/>
                      <w:lang w:val="en-US"/>
                    </w:rPr>
                    <m:t>adjacent network UE</m:t>
                  </m:r>
                  <m:r>
                    <w:rPr>
                      <w:rFonts w:ascii="Cambria Math" w:hAnsi="Cambria Math" w:hint="eastAsia"/>
                      <w:lang w:val="en-US"/>
                    </w:rPr>
                    <m:t>→</m:t>
                  </m:r>
                  <m:r>
                    <w:rPr>
                      <w:rFonts w:ascii="Cambria Math" w:hAnsi="Cambria Math" w:hint="eastAsia"/>
                      <w:lang w:val="en-US"/>
                    </w:rPr>
                    <m:t>serving gNB</m:t>
                  </m:r>
                </m:sub>
              </m:sSub>
            </m:den>
          </m:f>
          <m:r>
            <m:rPr>
              <m:sty m:val="bi"/>
            </m:rPr>
            <w:rPr>
              <w:rFonts w:ascii="Cambria Math" w:hAnsi="Cambria Math"/>
              <w:lang w:val="en-US"/>
            </w:rPr>
            <m:t xml:space="preserve"> </m:t>
          </m:r>
        </m:oMath>
      </m:oMathPara>
    </w:p>
    <w:p w14:paraId="4DC21C26" w14:textId="77777777" w:rsidR="0082329F" w:rsidRDefault="0082329F" w:rsidP="00DC4F93">
      <w:pPr>
        <w:rPr>
          <w:b/>
          <w:bCs/>
        </w:rPr>
      </w:pPr>
    </w:p>
    <w:p w14:paraId="21769026" w14:textId="67233C03" w:rsidR="0015721A" w:rsidRDefault="0015721A" w:rsidP="00DC4F93">
      <w:pPr>
        <w:rPr>
          <w:b/>
          <w:bCs/>
        </w:rPr>
      </w:pPr>
      <w:r w:rsidRPr="00B10AC6">
        <w:rPr>
          <w:b/>
          <w:bCs/>
        </w:rPr>
        <w:t xml:space="preserve">Proposal </w:t>
      </w:r>
      <w:r>
        <w:rPr>
          <w:b/>
          <w:bCs/>
        </w:rPr>
        <w:t>2</w:t>
      </w:r>
      <w:r w:rsidRPr="00B10AC6">
        <w:rPr>
          <w:b/>
          <w:bCs/>
        </w:rPr>
        <w:t xml:space="preserve">: The performance degradation for </w:t>
      </w:r>
      <w:r>
        <w:rPr>
          <w:b/>
          <w:bCs/>
        </w:rPr>
        <w:t>Urban Macro Ca</w:t>
      </w:r>
      <w:r w:rsidRPr="00B10AC6">
        <w:rPr>
          <w:b/>
          <w:bCs/>
        </w:rPr>
        <w:t>se 1 is acceptable for both TDD DL and SBFD aggressor technologies</w:t>
      </w:r>
    </w:p>
    <w:p w14:paraId="1609ED9E" w14:textId="3A316877" w:rsidR="006E3A31" w:rsidRDefault="006E3A31" w:rsidP="00DC4F93">
      <w:pPr>
        <w:rPr>
          <w:b/>
          <w:bCs/>
        </w:rPr>
      </w:pPr>
      <w:r>
        <w:rPr>
          <w:b/>
          <w:bCs/>
        </w:rPr>
        <w:t xml:space="preserve">Proposal 3: </w:t>
      </w:r>
      <w:r w:rsidRPr="00B10AC6">
        <w:rPr>
          <w:b/>
          <w:bCs/>
        </w:rPr>
        <w:t xml:space="preserve">The performance degradation for </w:t>
      </w:r>
      <w:r>
        <w:rPr>
          <w:b/>
          <w:bCs/>
        </w:rPr>
        <w:t>Urban Hotspot Ca</w:t>
      </w:r>
      <w:r w:rsidRPr="00B10AC6">
        <w:rPr>
          <w:b/>
          <w:bCs/>
        </w:rPr>
        <w:t xml:space="preserve">se 1 is </w:t>
      </w:r>
      <w:r>
        <w:rPr>
          <w:b/>
          <w:bCs/>
        </w:rPr>
        <w:t xml:space="preserve">not </w:t>
      </w:r>
      <w:r w:rsidRPr="00B10AC6">
        <w:rPr>
          <w:b/>
          <w:bCs/>
        </w:rPr>
        <w:t xml:space="preserve">acceptable for </w:t>
      </w:r>
      <w:r>
        <w:rPr>
          <w:b/>
          <w:bCs/>
        </w:rPr>
        <w:t>SBFD due to the presence of UE-to-UE adjacent channel interference between UEs within the same cluster.</w:t>
      </w:r>
    </w:p>
    <w:p w14:paraId="3EB80BC9" w14:textId="6702EFC6" w:rsidR="005C792F" w:rsidRDefault="005C792F" w:rsidP="00DC4F93">
      <w:pPr>
        <w:rPr>
          <w:b/>
          <w:bCs/>
        </w:rPr>
      </w:pPr>
      <w:r w:rsidRPr="00B10AC6">
        <w:rPr>
          <w:b/>
          <w:bCs/>
        </w:rPr>
        <w:t xml:space="preserve">Proposal </w:t>
      </w:r>
      <w:r>
        <w:rPr>
          <w:b/>
          <w:bCs/>
        </w:rPr>
        <w:t>4</w:t>
      </w:r>
      <w:r w:rsidRPr="00B10AC6">
        <w:rPr>
          <w:b/>
          <w:bCs/>
        </w:rPr>
        <w:t xml:space="preserve">: The performance degradation for </w:t>
      </w:r>
      <w:r>
        <w:rPr>
          <w:b/>
          <w:bCs/>
        </w:rPr>
        <w:t>UMa-to-UMi Ca</w:t>
      </w:r>
      <w:r w:rsidRPr="00B10AC6">
        <w:rPr>
          <w:b/>
          <w:bCs/>
        </w:rPr>
        <w:t xml:space="preserve">se 1 </w:t>
      </w:r>
      <w:r>
        <w:rPr>
          <w:b/>
          <w:bCs/>
        </w:rPr>
        <w:t>can be considered</w:t>
      </w:r>
      <w:r w:rsidRPr="00B10AC6">
        <w:rPr>
          <w:b/>
          <w:bCs/>
        </w:rPr>
        <w:t xml:space="preserve"> acceptable for both TDD DL and SBFD aggressor technologies.</w:t>
      </w:r>
    </w:p>
    <w:p w14:paraId="72EB79BF" w14:textId="77777777" w:rsidR="005C792F" w:rsidRDefault="005C792F" w:rsidP="005C792F">
      <w:r w:rsidRPr="00B10AC6">
        <w:rPr>
          <w:b/>
          <w:bCs/>
        </w:rPr>
        <w:t xml:space="preserve">Proposal </w:t>
      </w:r>
      <w:r>
        <w:rPr>
          <w:b/>
          <w:bCs/>
        </w:rPr>
        <w:t>5</w:t>
      </w:r>
      <w:r w:rsidRPr="00B10AC6">
        <w:rPr>
          <w:b/>
          <w:bCs/>
        </w:rPr>
        <w:t xml:space="preserve">: The performance degradation for </w:t>
      </w:r>
      <w:r>
        <w:rPr>
          <w:b/>
          <w:bCs/>
        </w:rPr>
        <w:t>UMi-to-UMi Ca</w:t>
      </w:r>
      <w:r w:rsidRPr="00B10AC6">
        <w:rPr>
          <w:b/>
          <w:bCs/>
        </w:rPr>
        <w:t>se 1 is acceptable for both TDD DL and SBFD aggressor technologies.</w:t>
      </w:r>
    </w:p>
    <w:p w14:paraId="33D2F853" w14:textId="77777777" w:rsidR="005C792F" w:rsidRPr="00B82978" w:rsidRDefault="005C792F" w:rsidP="005C792F">
      <w:pPr>
        <w:rPr>
          <w:lang w:val="en-US"/>
        </w:rPr>
      </w:pPr>
      <w:r w:rsidRPr="00B10AC6">
        <w:rPr>
          <w:b/>
          <w:bCs/>
        </w:rPr>
        <w:t xml:space="preserve">Proposal </w:t>
      </w:r>
      <w:r>
        <w:rPr>
          <w:b/>
          <w:bCs/>
        </w:rPr>
        <w:t>6</w:t>
      </w:r>
      <w:r w:rsidRPr="00B10AC6">
        <w:rPr>
          <w:b/>
          <w:bCs/>
        </w:rPr>
        <w:t xml:space="preserve">: The performance degradation for </w:t>
      </w:r>
      <w:r>
        <w:rPr>
          <w:b/>
          <w:bCs/>
        </w:rPr>
        <w:t>Urban Macro FR2-1 Ca</w:t>
      </w:r>
      <w:r w:rsidRPr="00B10AC6">
        <w:rPr>
          <w:b/>
          <w:bCs/>
        </w:rPr>
        <w:t>se 1 is acceptable for both TDD DL and SBFD</w:t>
      </w:r>
    </w:p>
    <w:p w14:paraId="4D29CE50" w14:textId="77777777" w:rsidR="005C792F" w:rsidRDefault="005C792F" w:rsidP="005C792F">
      <w:pPr>
        <w:rPr>
          <w:b/>
          <w:bCs/>
        </w:rPr>
      </w:pPr>
      <w:r w:rsidRPr="009D3E26">
        <w:rPr>
          <w:b/>
          <w:bCs/>
        </w:rPr>
        <w:t xml:space="preserve">Proposal </w:t>
      </w:r>
      <w:r>
        <w:rPr>
          <w:b/>
          <w:bCs/>
        </w:rPr>
        <w:t>7</w:t>
      </w:r>
      <w:r w:rsidRPr="009D3E26">
        <w:rPr>
          <w:b/>
          <w:bCs/>
        </w:rPr>
        <w:t xml:space="preserve">: </w:t>
      </w:r>
      <w:r w:rsidRPr="00D255A4">
        <w:rPr>
          <w:b/>
          <w:bCs/>
        </w:rPr>
        <w:t xml:space="preserve">The performance degradation for </w:t>
      </w:r>
      <w:r>
        <w:rPr>
          <w:b/>
          <w:bCs/>
        </w:rPr>
        <w:t xml:space="preserve">Urban Macro </w:t>
      </w:r>
      <w:r w:rsidRPr="00D255A4">
        <w:rPr>
          <w:b/>
          <w:bCs/>
        </w:rPr>
        <w:t>Case 2 is not acceptable when SBFD is adopted</w:t>
      </w:r>
      <w:r>
        <w:rPr>
          <w:b/>
          <w:bCs/>
        </w:rPr>
        <w:t xml:space="preserve"> at the aggressor network. T</w:t>
      </w:r>
      <w:r w:rsidRPr="00D255A4">
        <w:rPr>
          <w:b/>
          <w:bCs/>
        </w:rPr>
        <w:t>herefore, the operation on SBFD during TDD UL symbols/slots in the victim network is not recommended.</w:t>
      </w:r>
    </w:p>
    <w:p w14:paraId="33B06AF2" w14:textId="77777777" w:rsidR="005C792F" w:rsidRDefault="005C792F" w:rsidP="005C792F">
      <w:pPr>
        <w:rPr>
          <w:b/>
          <w:bCs/>
        </w:rPr>
      </w:pPr>
      <w:r w:rsidRPr="009D3E26">
        <w:rPr>
          <w:b/>
          <w:bCs/>
        </w:rPr>
        <w:t xml:space="preserve">Proposal </w:t>
      </w:r>
      <w:r>
        <w:rPr>
          <w:b/>
          <w:bCs/>
        </w:rPr>
        <w:t>8</w:t>
      </w:r>
      <w:r w:rsidRPr="009D3E26">
        <w:rPr>
          <w:b/>
          <w:bCs/>
        </w:rPr>
        <w:t xml:space="preserve">: </w:t>
      </w:r>
      <w:r w:rsidRPr="00D255A4">
        <w:rPr>
          <w:b/>
          <w:bCs/>
        </w:rPr>
        <w:t xml:space="preserve">The performance degradation for </w:t>
      </w:r>
      <w:r>
        <w:rPr>
          <w:b/>
          <w:bCs/>
        </w:rPr>
        <w:t xml:space="preserve">Urban Hotspot </w:t>
      </w:r>
      <w:r w:rsidRPr="00D255A4">
        <w:rPr>
          <w:b/>
          <w:bCs/>
        </w:rPr>
        <w:t>Case 2 is not acceptable when SBFD is adopted</w:t>
      </w:r>
      <w:r>
        <w:rPr>
          <w:b/>
          <w:bCs/>
        </w:rPr>
        <w:t xml:space="preserve"> at the aggressor network. T</w:t>
      </w:r>
      <w:r w:rsidRPr="00D255A4">
        <w:rPr>
          <w:b/>
          <w:bCs/>
        </w:rPr>
        <w:t>herefore, the operation on SBFD during TDD UL symbols/slots in the victim network is not recommended.</w:t>
      </w:r>
    </w:p>
    <w:p w14:paraId="4C39714D" w14:textId="77777777" w:rsidR="005C792F" w:rsidRDefault="005C792F" w:rsidP="005C792F">
      <w:pPr>
        <w:rPr>
          <w:b/>
          <w:bCs/>
        </w:rPr>
      </w:pPr>
      <w:r w:rsidRPr="009D3E26">
        <w:rPr>
          <w:b/>
          <w:bCs/>
        </w:rPr>
        <w:t xml:space="preserve">Proposal </w:t>
      </w:r>
      <w:r>
        <w:rPr>
          <w:b/>
          <w:bCs/>
        </w:rPr>
        <w:t>9</w:t>
      </w:r>
      <w:r w:rsidRPr="009D3E26">
        <w:rPr>
          <w:b/>
          <w:bCs/>
        </w:rPr>
        <w:t xml:space="preserve">: </w:t>
      </w:r>
      <w:r w:rsidRPr="00D255A4">
        <w:rPr>
          <w:b/>
          <w:bCs/>
        </w:rPr>
        <w:t>The performance degradation for U</w:t>
      </w:r>
      <w:r>
        <w:rPr>
          <w:b/>
          <w:bCs/>
        </w:rPr>
        <w:t xml:space="preserve">Ma-to-UMi </w:t>
      </w:r>
      <w:r w:rsidRPr="00D255A4">
        <w:rPr>
          <w:b/>
          <w:bCs/>
        </w:rPr>
        <w:t>Case 2 is not acceptable when SBFD is adopted</w:t>
      </w:r>
      <w:r>
        <w:rPr>
          <w:b/>
          <w:bCs/>
        </w:rPr>
        <w:t xml:space="preserve"> at the aggressor network. T</w:t>
      </w:r>
      <w:r w:rsidRPr="00D255A4">
        <w:rPr>
          <w:b/>
          <w:bCs/>
        </w:rPr>
        <w:t>herefore, the operation on SBFD during TDD UL symbols/slots in the victim network is not recommended.</w:t>
      </w:r>
    </w:p>
    <w:p w14:paraId="72DAAF86" w14:textId="382DFB93" w:rsidR="005C792F" w:rsidRDefault="005C792F" w:rsidP="00DC4F93">
      <w:pPr>
        <w:rPr>
          <w:b/>
          <w:bCs/>
        </w:rPr>
      </w:pPr>
      <w:r w:rsidRPr="009D3E26">
        <w:rPr>
          <w:b/>
          <w:bCs/>
        </w:rPr>
        <w:t xml:space="preserve">Proposal </w:t>
      </w:r>
      <w:r>
        <w:rPr>
          <w:b/>
          <w:bCs/>
        </w:rPr>
        <w:t>10</w:t>
      </w:r>
      <w:r w:rsidRPr="009D3E26">
        <w:rPr>
          <w:b/>
          <w:bCs/>
        </w:rPr>
        <w:t xml:space="preserve">: </w:t>
      </w:r>
      <w:r w:rsidRPr="00D255A4">
        <w:rPr>
          <w:b/>
          <w:bCs/>
        </w:rPr>
        <w:t>The performance degradation for U</w:t>
      </w:r>
      <w:r>
        <w:rPr>
          <w:b/>
          <w:bCs/>
        </w:rPr>
        <w:t xml:space="preserve">Mi-to-UMi </w:t>
      </w:r>
      <w:r w:rsidRPr="00D255A4">
        <w:rPr>
          <w:b/>
          <w:bCs/>
        </w:rPr>
        <w:t>Case 2 is not acceptable when SBFD is adopted</w:t>
      </w:r>
      <w:r>
        <w:rPr>
          <w:b/>
          <w:bCs/>
        </w:rPr>
        <w:t xml:space="preserve"> at the aggressor network. T</w:t>
      </w:r>
      <w:r w:rsidRPr="00D255A4">
        <w:rPr>
          <w:b/>
          <w:bCs/>
        </w:rPr>
        <w:t>herefore, the operation on SBFD during TDD UL symbols/slots in the victim network is not recommended.</w:t>
      </w:r>
    </w:p>
    <w:p w14:paraId="0B012F5E" w14:textId="77777777" w:rsidR="005C792F" w:rsidRDefault="005C792F" w:rsidP="005C792F">
      <w:r w:rsidRPr="009D3E26">
        <w:rPr>
          <w:b/>
          <w:bCs/>
        </w:rPr>
        <w:t xml:space="preserve">Proposal </w:t>
      </w:r>
      <w:r>
        <w:rPr>
          <w:b/>
          <w:bCs/>
        </w:rPr>
        <w:t>11</w:t>
      </w:r>
      <w:r w:rsidRPr="009D3E26">
        <w:rPr>
          <w:b/>
          <w:bCs/>
        </w:rPr>
        <w:t xml:space="preserve">: </w:t>
      </w:r>
      <w:r w:rsidRPr="00D255A4">
        <w:rPr>
          <w:b/>
          <w:bCs/>
        </w:rPr>
        <w:t>The performance degradation for U</w:t>
      </w:r>
      <w:r>
        <w:rPr>
          <w:b/>
          <w:bCs/>
        </w:rPr>
        <w:t xml:space="preserve">rban Macro FR2-1 </w:t>
      </w:r>
      <w:r w:rsidRPr="00D255A4">
        <w:rPr>
          <w:b/>
          <w:bCs/>
        </w:rPr>
        <w:t xml:space="preserve">Case 2 </w:t>
      </w:r>
      <w:r w:rsidRPr="00B10AC6">
        <w:rPr>
          <w:b/>
          <w:bCs/>
        </w:rPr>
        <w:t>is acceptable for both TDD DL and SBFD aggressor technologies.</w:t>
      </w:r>
    </w:p>
    <w:p w14:paraId="4786A339" w14:textId="77777777" w:rsidR="005C792F" w:rsidRPr="006B4412" w:rsidRDefault="005C792F" w:rsidP="005C792F">
      <w:pPr>
        <w:rPr>
          <w:b/>
          <w:bCs/>
        </w:rPr>
      </w:pPr>
      <w:r w:rsidRPr="009D3E26">
        <w:rPr>
          <w:b/>
          <w:bCs/>
          <w:lang w:val="en-US"/>
        </w:rPr>
        <w:t xml:space="preserve">Proposal </w:t>
      </w:r>
      <w:r>
        <w:rPr>
          <w:b/>
          <w:bCs/>
          <w:lang w:val="en-US"/>
        </w:rPr>
        <w:t>12</w:t>
      </w:r>
      <w:r w:rsidRPr="009D3E26">
        <w:rPr>
          <w:b/>
          <w:bCs/>
          <w:lang w:val="en-US"/>
        </w:rPr>
        <w:t xml:space="preserve">: </w:t>
      </w:r>
      <w:r w:rsidRPr="006B4412">
        <w:rPr>
          <w:b/>
          <w:bCs/>
        </w:rPr>
        <w:t xml:space="preserve">The </w:t>
      </w:r>
      <w:r>
        <w:rPr>
          <w:b/>
          <w:bCs/>
        </w:rPr>
        <w:t xml:space="preserve">SBFD DL </w:t>
      </w:r>
      <w:r w:rsidRPr="006B4412">
        <w:rPr>
          <w:b/>
          <w:bCs/>
        </w:rPr>
        <w:t xml:space="preserve">performance degradation for </w:t>
      </w:r>
      <w:r>
        <w:rPr>
          <w:b/>
          <w:bCs/>
        </w:rPr>
        <w:t>Urban Macro</w:t>
      </w:r>
      <w:r w:rsidRPr="006B4412">
        <w:rPr>
          <w:b/>
          <w:bCs/>
        </w:rPr>
        <w:t xml:space="preserve"> Case </w:t>
      </w:r>
      <w:r>
        <w:rPr>
          <w:b/>
          <w:bCs/>
        </w:rPr>
        <w:t>3</w:t>
      </w:r>
      <w:r w:rsidRPr="006B4412">
        <w:rPr>
          <w:b/>
          <w:bCs/>
        </w:rPr>
        <w:t xml:space="preserve"> is acceptable when </w:t>
      </w:r>
      <w:r>
        <w:rPr>
          <w:b/>
          <w:bCs/>
        </w:rPr>
        <w:t>TDD DL is adopted in the aggressor network.</w:t>
      </w:r>
    </w:p>
    <w:p w14:paraId="1330A30B" w14:textId="77777777" w:rsidR="005C792F" w:rsidRDefault="005C792F" w:rsidP="005C792F">
      <w:pPr>
        <w:rPr>
          <w:lang w:val="en-US"/>
        </w:rPr>
      </w:pPr>
      <w:r w:rsidRPr="009D3E26">
        <w:rPr>
          <w:b/>
          <w:bCs/>
          <w:lang w:val="en-US"/>
        </w:rPr>
        <w:t xml:space="preserve">Proposal </w:t>
      </w:r>
      <w:r>
        <w:rPr>
          <w:b/>
          <w:bCs/>
          <w:lang w:val="en-US"/>
        </w:rPr>
        <w:t>13</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w:t>
      </w:r>
      <w:r>
        <w:rPr>
          <w:b/>
          <w:bCs/>
        </w:rPr>
        <w:t>Urban Macro</w:t>
      </w:r>
      <w:r w:rsidRPr="006B4412">
        <w:rPr>
          <w:b/>
          <w:bCs/>
        </w:rPr>
        <w:t xml:space="preserve"> Case </w:t>
      </w:r>
      <w:r>
        <w:rPr>
          <w:b/>
          <w:bCs/>
        </w:rPr>
        <w:t>3</w:t>
      </w:r>
      <w:r w:rsidRPr="006B4412">
        <w:rPr>
          <w:b/>
          <w:bCs/>
        </w:rPr>
        <w:t xml:space="preserve"> is </w:t>
      </w:r>
      <w:r>
        <w:rPr>
          <w:b/>
          <w:bCs/>
        </w:rPr>
        <w:t xml:space="preserve">not </w:t>
      </w:r>
      <w:r w:rsidRPr="006B4412">
        <w:rPr>
          <w:b/>
          <w:bCs/>
        </w:rPr>
        <w:t xml:space="preserve">acceptable when </w:t>
      </w:r>
      <w:r>
        <w:rPr>
          <w:b/>
          <w:bCs/>
        </w:rPr>
        <w:t>TDD DL is adopted in the aggressor network.</w:t>
      </w:r>
    </w:p>
    <w:p w14:paraId="64FC6111" w14:textId="77777777" w:rsidR="005C792F" w:rsidRPr="006B4412" w:rsidRDefault="005C792F" w:rsidP="005C792F">
      <w:pPr>
        <w:rPr>
          <w:b/>
          <w:bCs/>
        </w:rPr>
      </w:pPr>
      <w:r w:rsidRPr="009D3E26">
        <w:rPr>
          <w:b/>
          <w:bCs/>
          <w:lang w:val="en-US"/>
        </w:rPr>
        <w:t xml:space="preserve">Proposal </w:t>
      </w:r>
      <w:r>
        <w:rPr>
          <w:b/>
          <w:bCs/>
          <w:lang w:val="en-US"/>
        </w:rPr>
        <w:t>14</w:t>
      </w:r>
      <w:r w:rsidRPr="009D3E26">
        <w:rPr>
          <w:b/>
          <w:bCs/>
          <w:lang w:val="en-US"/>
        </w:rPr>
        <w:t xml:space="preserve">: </w:t>
      </w:r>
      <w:r w:rsidRPr="006B4412">
        <w:rPr>
          <w:b/>
          <w:bCs/>
        </w:rPr>
        <w:t xml:space="preserve">The </w:t>
      </w:r>
      <w:r>
        <w:rPr>
          <w:b/>
          <w:bCs/>
        </w:rPr>
        <w:t xml:space="preserve">SBFD DL </w:t>
      </w:r>
      <w:r w:rsidRPr="006B4412">
        <w:rPr>
          <w:b/>
          <w:bCs/>
        </w:rPr>
        <w:t xml:space="preserve">performance degradation for </w:t>
      </w:r>
      <w:r>
        <w:rPr>
          <w:b/>
          <w:bCs/>
        </w:rPr>
        <w:t>Urban Hotspot</w:t>
      </w:r>
      <w:r w:rsidRPr="006B4412">
        <w:rPr>
          <w:b/>
          <w:bCs/>
        </w:rPr>
        <w:t xml:space="preserve"> Case </w:t>
      </w:r>
      <w:r>
        <w:rPr>
          <w:b/>
          <w:bCs/>
        </w:rPr>
        <w:t>3</w:t>
      </w:r>
      <w:r w:rsidRPr="006B4412">
        <w:rPr>
          <w:b/>
          <w:bCs/>
        </w:rPr>
        <w:t xml:space="preserve"> is acceptable when </w:t>
      </w:r>
      <w:r>
        <w:rPr>
          <w:b/>
          <w:bCs/>
        </w:rPr>
        <w:t>TDD DL is adopted in the aggressor network.</w:t>
      </w:r>
    </w:p>
    <w:p w14:paraId="4124C7E1" w14:textId="77777777" w:rsidR="005C792F" w:rsidRPr="00BE06AE" w:rsidRDefault="005C792F" w:rsidP="005C792F">
      <w:pPr>
        <w:rPr>
          <w:lang w:val="en-US"/>
        </w:rPr>
      </w:pPr>
      <w:r w:rsidRPr="009D3E26">
        <w:rPr>
          <w:b/>
          <w:bCs/>
          <w:lang w:val="en-US"/>
        </w:rPr>
        <w:t xml:space="preserve">Proposal </w:t>
      </w:r>
      <w:r>
        <w:rPr>
          <w:b/>
          <w:bCs/>
          <w:lang w:val="en-US"/>
        </w:rPr>
        <w:t>15</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w:t>
      </w:r>
      <w:r>
        <w:rPr>
          <w:b/>
          <w:bCs/>
        </w:rPr>
        <w:t>Urban Hotspot</w:t>
      </w:r>
      <w:r w:rsidRPr="006B4412">
        <w:rPr>
          <w:b/>
          <w:bCs/>
        </w:rPr>
        <w:t xml:space="preserve"> Case </w:t>
      </w:r>
      <w:r>
        <w:rPr>
          <w:b/>
          <w:bCs/>
        </w:rPr>
        <w:t>3</w:t>
      </w:r>
      <w:r w:rsidRPr="006B4412">
        <w:rPr>
          <w:b/>
          <w:bCs/>
        </w:rPr>
        <w:t xml:space="preserve"> is </w:t>
      </w:r>
      <w:r>
        <w:rPr>
          <w:b/>
          <w:bCs/>
        </w:rPr>
        <w:t xml:space="preserve">not </w:t>
      </w:r>
      <w:r w:rsidRPr="006B4412">
        <w:rPr>
          <w:b/>
          <w:bCs/>
        </w:rPr>
        <w:t xml:space="preserve">acceptable when </w:t>
      </w:r>
      <w:r>
        <w:rPr>
          <w:b/>
          <w:bCs/>
        </w:rPr>
        <w:t>TDD DL is adopted in the aggressor network.</w:t>
      </w:r>
    </w:p>
    <w:p w14:paraId="2878F37D" w14:textId="77777777" w:rsidR="005C792F" w:rsidRPr="006B4412" w:rsidRDefault="005C792F" w:rsidP="005C792F">
      <w:pPr>
        <w:rPr>
          <w:b/>
          <w:bCs/>
        </w:rPr>
      </w:pPr>
      <w:r w:rsidRPr="009D3E26">
        <w:rPr>
          <w:b/>
          <w:bCs/>
          <w:lang w:val="en-US"/>
        </w:rPr>
        <w:lastRenderedPageBreak/>
        <w:t xml:space="preserve">Proposal </w:t>
      </w:r>
      <w:r>
        <w:rPr>
          <w:b/>
          <w:bCs/>
          <w:lang w:val="en-US"/>
        </w:rPr>
        <w:t>16</w:t>
      </w:r>
      <w:r w:rsidRPr="009D3E26">
        <w:rPr>
          <w:b/>
          <w:bCs/>
          <w:lang w:val="en-US"/>
        </w:rPr>
        <w:t xml:space="preserve">: </w:t>
      </w:r>
      <w:r w:rsidRPr="006B4412">
        <w:rPr>
          <w:b/>
          <w:bCs/>
        </w:rPr>
        <w:t xml:space="preserve">The </w:t>
      </w:r>
      <w:r>
        <w:rPr>
          <w:b/>
          <w:bCs/>
        </w:rPr>
        <w:t xml:space="preserve">SBFD DL </w:t>
      </w:r>
      <w:r w:rsidRPr="006B4412">
        <w:rPr>
          <w:b/>
          <w:bCs/>
        </w:rPr>
        <w:t>performance degradation for UM</w:t>
      </w:r>
      <w:r>
        <w:rPr>
          <w:b/>
          <w:bCs/>
        </w:rPr>
        <w:t>a</w:t>
      </w:r>
      <w:r w:rsidRPr="006B4412">
        <w:rPr>
          <w:b/>
          <w:bCs/>
        </w:rPr>
        <w:t xml:space="preserve">-to-UMi Case </w:t>
      </w:r>
      <w:r>
        <w:rPr>
          <w:b/>
          <w:bCs/>
        </w:rPr>
        <w:t>3</w:t>
      </w:r>
      <w:r w:rsidRPr="006B4412">
        <w:rPr>
          <w:b/>
          <w:bCs/>
        </w:rPr>
        <w:t xml:space="preserve"> is acceptable when </w:t>
      </w:r>
      <w:r>
        <w:rPr>
          <w:b/>
          <w:bCs/>
        </w:rPr>
        <w:t>TDD DL is adopted in the aggressor network.</w:t>
      </w:r>
    </w:p>
    <w:p w14:paraId="3440A1CF" w14:textId="77777777" w:rsidR="00241E13" w:rsidRDefault="00241E13" w:rsidP="00241E13">
      <w:pPr>
        <w:rPr>
          <w:lang w:val="en-US"/>
        </w:rPr>
      </w:pPr>
      <w:r w:rsidRPr="009D3E26">
        <w:rPr>
          <w:b/>
          <w:bCs/>
          <w:lang w:val="en-US"/>
        </w:rPr>
        <w:t xml:space="preserve">Proposal </w:t>
      </w:r>
      <w:r>
        <w:rPr>
          <w:b/>
          <w:bCs/>
          <w:lang w:val="en-US"/>
        </w:rPr>
        <w:t>17</w:t>
      </w:r>
      <w:r w:rsidRPr="009D3E26">
        <w:rPr>
          <w:b/>
          <w:bCs/>
          <w:lang w:val="en-US"/>
        </w:rPr>
        <w:t xml:space="preserve">: </w:t>
      </w:r>
      <w:r w:rsidRPr="006B4412">
        <w:rPr>
          <w:b/>
          <w:bCs/>
        </w:rPr>
        <w:t xml:space="preserve">The </w:t>
      </w:r>
      <w:r>
        <w:rPr>
          <w:b/>
          <w:bCs/>
        </w:rPr>
        <w:t xml:space="preserve">SBFD UL </w:t>
      </w:r>
      <w:r w:rsidRPr="006B4412">
        <w:rPr>
          <w:b/>
          <w:bCs/>
        </w:rPr>
        <w:t>performance degradation for UM</w:t>
      </w:r>
      <w:r>
        <w:rPr>
          <w:b/>
          <w:bCs/>
        </w:rPr>
        <w:t>a</w:t>
      </w:r>
      <w:r w:rsidRPr="006B4412">
        <w:rPr>
          <w:b/>
          <w:bCs/>
        </w:rPr>
        <w:t xml:space="preserve">-to-UMi Case </w:t>
      </w:r>
      <w:r>
        <w:rPr>
          <w:b/>
          <w:bCs/>
        </w:rPr>
        <w:t>3</w:t>
      </w:r>
      <w:r w:rsidRPr="006B4412">
        <w:rPr>
          <w:b/>
          <w:bCs/>
        </w:rPr>
        <w:t xml:space="preserve"> is </w:t>
      </w:r>
      <w:r>
        <w:rPr>
          <w:b/>
          <w:bCs/>
        </w:rPr>
        <w:t xml:space="preserve">not </w:t>
      </w:r>
      <w:r w:rsidRPr="006B4412">
        <w:rPr>
          <w:b/>
          <w:bCs/>
        </w:rPr>
        <w:t xml:space="preserve">acceptable when </w:t>
      </w:r>
      <w:r>
        <w:rPr>
          <w:b/>
          <w:bCs/>
        </w:rPr>
        <w:t>TDD DL is adopted in the aggressor network.</w:t>
      </w:r>
    </w:p>
    <w:p w14:paraId="788F98DE" w14:textId="77777777" w:rsidR="005C792F" w:rsidRPr="006B4412" w:rsidRDefault="005C792F" w:rsidP="005C792F">
      <w:pPr>
        <w:rPr>
          <w:b/>
          <w:bCs/>
        </w:rPr>
      </w:pPr>
      <w:r w:rsidRPr="00A7265C">
        <w:rPr>
          <w:b/>
          <w:bCs/>
          <w:lang w:val="en-US"/>
        </w:rPr>
        <w:t xml:space="preserve">Proposal </w:t>
      </w:r>
      <w:r>
        <w:rPr>
          <w:b/>
          <w:bCs/>
          <w:lang w:val="en-US"/>
        </w:rPr>
        <w:t>18</w:t>
      </w:r>
      <w:r w:rsidRPr="00A7265C">
        <w:rPr>
          <w:b/>
          <w:bCs/>
          <w:lang w:val="en-US"/>
        </w:rPr>
        <w:t xml:space="preserve">: </w:t>
      </w:r>
      <w:r w:rsidRPr="006B4412">
        <w:rPr>
          <w:b/>
          <w:bCs/>
        </w:rPr>
        <w:t xml:space="preserve">The </w:t>
      </w:r>
      <w:r>
        <w:rPr>
          <w:b/>
          <w:bCs/>
        </w:rPr>
        <w:t xml:space="preserve">SBFD DL </w:t>
      </w:r>
      <w:r w:rsidRPr="006B4412">
        <w:rPr>
          <w:b/>
          <w:bCs/>
        </w:rPr>
        <w:t xml:space="preserve">performance degradation for UMi-to-UMi Case </w:t>
      </w:r>
      <w:r>
        <w:rPr>
          <w:b/>
          <w:bCs/>
        </w:rPr>
        <w:t>3</w:t>
      </w:r>
      <w:r w:rsidRPr="006B4412">
        <w:rPr>
          <w:b/>
          <w:bCs/>
        </w:rPr>
        <w:t xml:space="preserve"> is acceptable when </w:t>
      </w:r>
      <w:r>
        <w:rPr>
          <w:b/>
          <w:bCs/>
        </w:rPr>
        <w:t>TDD DL is adopted in the aggressor network.</w:t>
      </w:r>
    </w:p>
    <w:p w14:paraId="37E87AE7" w14:textId="77777777" w:rsidR="005C792F" w:rsidRDefault="005C792F" w:rsidP="005C792F">
      <w:pPr>
        <w:rPr>
          <w:lang w:val="en-US"/>
        </w:rPr>
      </w:pPr>
      <w:r w:rsidRPr="009D3E26">
        <w:rPr>
          <w:b/>
          <w:bCs/>
          <w:lang w:val="en-US"/>
        </w:rPr>
        <w:t xml:space="preserve">Proposal </w:t>
      </w:r>
      <w:r>
        <w:rPr>
          <w:b/>
          <w:bCs/>
          <w:lang w:val="en-US"/>
        </w:rPr>
        <w:t>19</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UMi-to-UMi Case </w:t>
      </w:r>
      <w:r>
        <w:rPr>
          <w:b/>
          <w:bCs/>
        </w:rPr>
        <w:t>3</w:t>
      </w:r>
      <w:r w:rsidRPr="006B4412">
        <w:rPr>
          <w:b/>
          <w:bCs/>
        </w:rPr>
        <w:t xml:space="preserve"> is </w:t>
      </w:r>
      <w:r>
        <w:rPr>
          <w:b/>
          <w:bCs/>
        </w:rPr>
        <w:t xml:space="preserve">not </w:t>
      </w:r>
      <w:r w:rsidRPr="006B4412">
        <w:rPr>
          <w:b/>
          <w:bCs/>
        </w:rPr>
        <w:t xml:space="preserve">acceptable when </w:t>
      </w:r>
      <w:r>
        <w:rPr>
          <w:b/>
          <w:bCs/>
        </w:rPr>
        <w:t>TDD DL is adopted in the aggressor network, at least for 10% grid shift.</w:t>
      </w:r>
    </w:p>
    <w:p w14:paraId="71C5FF66" w14:textId="77777777" w:rsidR="005C792F" w:rsidRPr="006B4412" w:rsidRDefault="005C792F" w:rsidP="005C792F">
      <w:pPr>
        <w:rPr>
          <w:b/>
          <w:bCs/>
        </w:rPr>
      </w:pPr>
      <w:r w:rsidRPr="009D3E26">
        <w:rPr>
          <w:b/>
          <w:bCs/>
          <w:lang w:val="en-US"/>
        </w:rPr>
        <w:t xml:space="preserve">Proposal </w:t>
      </w:r>
      <w:r>
        <w:rPr>
          <w:b/>
          <w:bCs/>
          <w:lang w:val="en-US"/>
        </w:rPr>
        <w:t>20</w:t>
      </w:r>
      <w:r w:rsidRPr="009D3E26">
        <w:rPr>
          <w:b/>
          <w:bCs/>
          <w:lang w:val="en-US"/>
        </w:rPr>
        <w:t xml:space="preserve">: </w:t>
      </w:r>
      <w:r w:rsidRPr="006B4412">
        <w:rPr>
          <w:b/>
          <w:bCs/>
        </w:rPr>
        <w:t xml:space="preserve">The </w:t>
      </w:r>
      <w:r>
        <w:rPr>
          <w:b/>
          <w:bCs/>
        </w:rPr>
        <w:t xml:space="preserve">SBFD DL </w:t>
      </w:r>
      <w:r w:rsidRPr="006B4412">
        <w:rPr>
          <w:b/>
          <w:bCs/>
        </w:rPr>
        <w:t>performance degradation for U</w:t>
      </w:r>
      <w:r>
        <w:rPr>
          <w:b/>
          <w:bCs/>
        </w:rPr>
        <w:t>rban Macro</w:t>
      </w:r>
      <w:r w:rsidRPr="006B4412">
        <w:rPr>
          <w:b/>
          <w:bCs/>
        </w:rPr>
        <w:t xml:space="preserve"> </w:t>
      </w:r>
      <w:r>
        <w:rPr>
          <w:b/>
          <w:bCs/>
        </w:rPr>
        <w:t xml:space="preserve">FR2-1 </w:t>
      </w:r>
      <w:r w:rsidRPr="006B4412">
        <w:rPr>
          <w:b/>
          <w:bCs/>
        </w:rPr>
        <w:t xml:space="preserve">Case </w:t>
      </w:r>
      <w:r>
        <w:rPr>
          <w:b/>
          <w:bCs/>
        </w:rPr>
        <w:t>3</w:t>
      </w:r>
      <w:r w:rsidRPr="006B4412">
        <w:rPr>
          <w:b/>
          <w:bCs/>
        </w:rPr>
        <w:t xml:space="preserve"> is acceptable when </w:t>
      </w:r>
      <w:r>
        <w:rPr>
          <w:b/>
          <w:bCs/>
        </w:rPr>
        <w:t>TDD DL is adopted in the aggressor network.</w:t>
      </w:r>
    </w:p>
    <w:p w14:paraId="53E3E92F" w14:textId="77777777" w:rsidR="005C792F" w:rsidRPr="00BF50E7" w:rsidRDefault="005C792F" w:rsidP="005C792F">
      <w:pPr>
        <w:rPr>
          <w:lang w:val="en-US"/>
        </w:rPr>
      </w:pPr>
      <w:r w:rsidRPr="009D3E26">
        <w:rPr>
          <w:b/>
          <w:bCs/>
          <w:lang w:val="en-US"/>
        </w:rPr>
        <w:t xml:space="preserve">Proposal </w:t>
      </w:r>
      <w:r>
        <w:rPr>
          <w:b/>
          <w:bCs/>
          <w:lang w:val="en-US"/>
        </w:rPr>
        <w:t>21</w:t>
      </w:r>
      <w:r w:rsidRPr="009D3E26">
        <w:rPr>
          <w:b/>
          <w:bCs/>
          <w:lang w:val="en-US"/>
        </w:rPr>
        <w:t xml:space="preserve">: </w:t>
      </w:r>
      <w:r w:rsidRPr="006B4412">
        <w:rPr>
          <w:b/>
          <w:bCs/>
        </w:rPr>
        <w:t xml:space="preserve">The </w:t>
      </w:r>
      <w:r>
        <w:rPr>
          <w:b/>
          <w:bCs/>
        </w:rPr>
        <w:t xml:space="preserve">SBFD UL </w:t>
      </w:r>
      <w:r w:rsidRPr="006B4412">
        <w:rPr>
          <w:b/>
          <w:bCs/>
        </w:rPr>
        <w:t>performance degradation for U</w:t>
      </w:r>
      <w:r>
        <w:rPr>
          <w:b/>
          <w:bCs/>
        </w:rPr>
        <w:t>rban Macro</w:t>
      </w:r>
      <w:r w:rsidRPr="006B4412">
        <w:rPr>
          <w:b/>
          <w:bCs/>
        </w:rPr>
        <w:t xml:space="preserve"> </w:t>
      </w:r>
      <w:r>
        <w:rPr>
          <w:b/>
          <w:bCs/>
        </w:rPr>
        <w:t xml:space="preserve">FR2-1 </w:t>
      </w:r>
      <w:r w:rsidRPr="006B4412">
        <w:rPr>
          <w:b/>
          <w:bCs/>
        </w:rPr>
        <w:t xml:space="preserve">Case </w:t>
      </w:r>
      <w:r>
        <w:rPr>
          <w:b/>
          <w:bCs/>
        </w:rPr>
        <w:t>3</w:t>
      </w:r>
      <w:r w:rsidRPr="006B4412">
        <w:rPr>
          <w:b/>
          <w:bCs/>
        </w:rPr>
        <w:t xml:space="preserve"> is acceptable when </w:t>
      </w:r>
      <w:r>
        <w:rPr>
          <w:b/>
          <w:bCs/>
        </w:rPr>
        <w:t>TDD DL is adopted in the aggressor network.</w:t>
      </w:r>
    </w:p>
    <w:p w14:paraId="54441B7F" w14:textId="77777777" w:rsidR="00516180" w:rsidRPr="006B4412" w:rsidRDefault="00516180" w:rsidP="00516180">
      <w:pPr>
        <w:rPr>
          <w:b/>
          <w:bCs/>
        </w:rPr>
      </w:pPr>
      <w:r w:rsidRPr="009D3E26">
        <w:rPr>
          <w:b/>
          <w:bCs/>
          <w:lang w:val="en-US"/>
        </w:rPr>
        <w:t xml:space="preserve">Proposal </w:t>
      </w:r>
      <w:r>
        <w:rPr>
          <w:b/>
          <w:bCs/>
          <w:lang w:val="en-US"/>
        </w:rPr>
        <w:t>22</w:t>
      </w:r>
      <w:r w:rsidRPr="009D3E26">
        <w:rPr>
          <w:b/>
          <w:bCs/>
          <w:lang w:val="en-US"/>
        </w:rPr>
        <w:t xml:space="preserve">: </w:t>
      </w:r>
      <w:r w:rsidRPr="006B4412">
        <w:rPr>
          <w:b/>
          <w:bCs/>
        </w:rPr>
        <w:t xml:space="preserve">The </w:t>
      </w:r>
      <w:r>
        <w:rPr>
          <w:b/>
          <w:bCs/>
        </w:rPr>
        <w:t xml:space="preserve">SBFD DL </w:t>
      </w:r>
      <w:r w:rsidRPr="006B4412">
        <w:rPr>
          <w:b/>
          <w:bCs/>
        </w:rPr>
        <w:t xml:space="preserve">performance degradation for </w:t>
      </w:r>
      <w:r>
        <w:rPr>
          <w:b/>
          <w:bCs/>
        </w:rPr>
        <w:t>Urban Macro Case 4</w:t>
      </w:r>
      <w:r w:rsidRPr="006B4412">
        <w:rPr>
          <w:b/>
          <w:bCs/>
        </w:rPr>
        <w:t xml:space="preserve"> is acceptable when </w:t>
      </w:r>
      <w:r>
        <w:rPr>
          <w:b/>
          <w:bCs/>
        </w:rPr>
        <w:t>TDD UL is adopted in the aggressor network.</w:t>
      </w:r>
    </w:p>
    <w:p w14:paraId="53DFC847" w14:textId="77777777" w:rsidR="00516180" w:rsidRPr="006806CE" w:rsidRDefault="00516180" w:rsidP="00516180">
      <w:r w:rsidRPr="009D3E26">
        <w:rPr>
          <w:b/>
          <w:bCs/>
          <w:lang w:val="en-US"/>
        </w:rPr>
        <w:t xml:space="preserve">Proposal </w:t>
      </w:r>
      <w:r>
        <w:rPr>
          <w:b/>
          <w:bCs/>
          <w:lang w:val="en-US"/>
        </w:rPr>
        <w:t>23</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w:t>
      </w:r>
      <w:r>
        <w:rPr>
          <w:b/>
          <w:bCs/>
        </w:rPr>
        <w:t>Urban Macro Case 4</w:t>
      </w:r>
      <w:r w:rsidRPr="006B4412">
        <w:rPr>
          <w:b/>
          <w:bCs/>
        </w:rPr>
        <w:t xml:space="preserve"> is acceptable when </w:t>
      </w:r>
      <w:r>
        <w:rPr>
          <w:b/>
          <w:bCs/>
        </w:rPr>
        <w:t>TDD UL is adopted in the aggressor network.</w:t>
      </w:r>
    </w:p>
    <w:p w14:paraId="3024892B" w14:textId="77777777" w:rsidR="00516180" w:rsidRPr="006B4412" w:rsidRDefault="00516180" w:rsidP="00516180">
      <w:pPr>
        <w:rPr>
          <w:b/>
          <w:bCs/>
        </w:rPr>
      </w:pPr>
      <w:r w:rsidRPr="009D3E26">
        <w:rPr>
          <w:b/>
          <w:bCs/>
          <w:lang w:val="en-US"/>
        </w:rPr>
        <w:t xml:space="preserve">Proposal </w:t>
      </w:r>
      <w:r>
        <w:rPr>
          <w:b/>
          <w:bCs/>
          <w:lang w:val="en-US"/>
        </w:rPr>
        <w:t>24</w:t>
      </w:r>
      <w:r w:rsidRPr="009D3E26">
        <w:rPr>
          <w:b/>
          <w:bCs/>
          <w:lang w:val="en-US"/>
        </w:rPr>
        <w:t xml:space="preserve">: </w:t>
      </w:r>
      <w:r w:rsidRPr="006B4412">
        <w:rPr>
          <w:b/>
          <w:bCs/>
        </w:rPr>
        <w:t xml:space="preserve">The </w:t>
      </w:r>
      <w:r>
        <w:rPr>
          <w:b/>
          <w:bCs/>
        </w:rPr>
        <w:t xml:space="preserve">SBFD DL </w:t>
      </w:r>
      <w:r w:rsidRPr="006B4412">
        <w:rPr>
          <w:b/>
          <w:bCs/>
        </w:rPr>
        <w:t xml:space="preserve">performance degradation for </w:t>
      </w:r>
      <w:r>
        <w:rPr>
          <w:b/>
          <w:bCs/>
        </w:rPr>
        <w:t>Urban Hotspot Case 4</w:t>
      </w:r>
      <w:r w:rsidRPr="006B4412">
        <w:rPr>
          <w:b/>
          <w:bCs/>
        </w:rPr>
        <w:t xml:space="preserve"> is acceptable when </w:t>
      </w:r>
      <w:r>
        <w:rPr>
          <w:b/>
          <w:bCs/>
        </w:rPr>
        <w:t>TDD UL is adopted in the aggressor network.</w:t>
      </w:r>
    </w:p>
    <w:p w14:paraId="04AF09B8" w14:textId="77777777" w:rsidR="00516180" w:rsidRPr="006806CE" w:rsidRDefault="00516180" w:rsidP="00516180">
      <w:r w:rsidRPr="009D3E26">
        <w:rPr>
          <w:b/>
          <w:bCs/>
          <w:lang w:val="en-US"/>
        </w:rPr>
        <w:t xml:space="preserve">Proposal </w:t>
      </w:r>
      <w:r>
        <w:rPr>
          <w:b/>
          <w:bCs/>
          <w:lang w:val="en-US"/>
        </w:rPr>
        <w:t>25</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w:t>
      </w:r>
      <w:r>
        <w:rPr>
          <w:b/>
          <w:bCs/>
        </w:rPr>
        <w:t>Urban Hotspot Case 4</w:t>
      </w:r>
      <w:r w:rsidRPr="006B4412">
        <w:rPr>
          <w:b/>
          <w:bCs/>
        </w:rPr>
        <w:t xml:space="preserve"> is acceptable when </w:t>
      </w:r>
      <w:r>
        <w:rPr>
          <w:b/>
          <w:bCs/>
        </w:rPr>
        <w:t>TDD UL is adopted in the aggressor network.</w:t>
      </w:r>
    </w:p>
    <w:p w14:paraId="576B2904" w14:textId="77777777" w:rsidR="00241E13" w:rsidRPr="006B4412" w:rsidRDefault="00241E13" w:rsidP="00241E13">
      <w:pPr>
        <w:rPr>
          <w:b/>
          <w:bCs/>
        </w:rPr>
      </w:pPr>
      <w:r w:rsidRPr="009D3E26">
        <w:rPr>
          <w:b/>
          <w:bCs/>
          <w:lang w:val="en-US"/>
        </w:rPr>
        <w:t xml:space="preserve">Proposal </w:t>
      </w:r>
      <w:r>
        <w:rPr>
          <w:b/>
          <w:bCs/>
          <w:lang w:val="en-US"/>
        </w:rPr>
        <w:t>26</w:t>
      </w:r>
      <w:r w:rsidRPr="009D3E26">
        <w:rPr>
          <w:b/>
          <w:bCs/>
          <w:lang w:val="en-US"/>
        </w:rPr>
        <w:t xml:space="preserve">: </w:t>
      </w:r>
      <w:r w:rsidRPr="006B4412">
        <w:rPr>
          <w:b/>
          <w:bCs/>
        </w:rPr>
        <w:t xml:space="preserve">The </w:t>
      </w:r>
      <w:r>
        <w:rPr>
          <w:b/>
          <w:bCs/>
        </w:rPr>
        <w:t xml:space="preserve">SBFD DL </w:t>
      </w:r>
      <w:r w:rsidRPr="006B4412">
        <w:rPr>
          <w:b/>
          <w:bCs/>
        </w:rPr>
        <w:t>performance degradation for UM</w:t>
      </w:r>
      <w:r>
        <w:rPr>
          <w:b/>
          <w:bCs/>
        </w:rPr>
        <w:t>a</w:t>
      </w:r>
      <w:r w:rsidRPr="006B4412">
        <w:rPr>
          <w:b/>
          <w:bCs/>
        </w:rPr>
        <w:t xml:space="preserve">-to-UMi Case </w:t>
      </w:r>
      <w:r>
        <w:rPr>
          <w:b/>
          <w:bCs/>
        </w:rPr>
        <w:t>4</w:t>
      </w:r>
      <w:r w:rsidRPr="006B4412">
        <w:rPr>
          <w:b/>
          <w:bCs/>
        </w:rPr>
        <w:t xml:space="preserve"> is acceptable when </w:t>
      </w:r>
      <w:r>
        <w:rPr>
          <w:b/>
          <w:bCs/>
        </w:rPr>
        <w:t>TDD UL is adopted in the aggressor network.</w:t>
      </w:r>
    </w:p>
    <w:p w14:paraId="01EAE0F3" w14:textId="77777777" w:rsidR="00241E13" w:rsidRDefault="00241E13" w:rsidP="00241E13">
      <w:pPr>
        <w:rPr>
          <w:lang w:val="en-US"/>
        </w:rPr>
      </w:pPr>
      <w:r w:rsidRPr="009D3E26">
        <w:rPr>
          <w:b/>
          <w:bCs/>
          <w:lang w:val="en-US"/>
        </w:rPr>
        <w:t xml:space="preserve">Proposal </w:t>
      </w:r>
      <w:r>
        <w:rPr>
          <w:b/>
          <w:bCs/>
          <w:lang w:val="en-US"/>
        </w:rPr>
        <w:t>27</w:t>
      </w:r>
      <w:r w:rsidRPr="009D3E26">
        <w:rPr>
          <w:b/>
          <w:bCs/>
          <w:lang w:val="en-US"/>
        </w:rPr>
        <w:t xml:space="preserve">: </w:t>
      </w:r>
      <w:r w:rsidRPr="006B4412">
        <w:rPr>
          <w:b/>
          <w:bCs/>
        </w:rPr>
        <w:t xml:space="preserve">The </w:t>
      </w:r>
      <w:r>
        <w:rPr>
          <w:b/>
          <w:bCs/>
        </w:rPr>
        <w:t xml:space="preserve">SBFD UL </w:t>
      </w:r>
      <w:r w:rsidRPr="006B4412">
        <w:rPr>
          <w:b/>
          <w:bCs/>
        </w:rPr>
        <w:t>performance degradation for UM</w:t>
      </w:r>
      <w:r>
        <w:rPr>
          <w:b/>
          <w:bCs/>
        </w:rPr>
        <w:t>a</w:t>
      </w:r>
      <w:r w:rsidRPr="006B4412">
        <w:rPr>
          <w:b/>
          <w:bCs/>
        </w:rPr>
        <w:t xml:space="preserve">-to-UMi Case </w:t>
      </w:r>
      <w:r>
        <w:rPr>
          <w:b/>
          <w:bCs/>
        </w:rPr>
        <w:t>4</w:t>
      </w:r>
      <w:r w:rsidRPr="006B4412">
        <w:rPr>
          <w:b/>
          <w:bCs/>
        </w:rPr>
        <w:t xml:space="preserve"> is</w:t>
      </w:r>
      <w:r>
        <w:rPr>
          <w:b/>
          <w:bCs/>
        </w:rPr>
        <w:t xml:space="preserve"> </w:t>
      </w:r>
      <w:r w:rsidRPr="006B4412">
        <w:rPr>
          <w:b/>
          <w:bCs/>
        </w:rPr>
        <w:t xml:space="preserve">acceptable when </w:t>
      </w:r>
      <w:r>
        <w:rPr>
          <w:b/>
          <w:bCs/>
        </w:rPr>
        <w:t>TDD UL is adopted in the aggressor network, at least for 10% grid shift.</w:t>
      </w:r>
    </w:p>
    <w:p w14:paraId="12F0C882" w14:textId="77777777" w:rsidR="007C462B" w:rsidRPr="006B4412" w:rsidRDefault="007C462B" w:rsidP="007C462B">
      <w:pPr>
        <w:rPr>
          <w:b/>
          <w:bCs/>
        </w:rPr>
      </w:pPr>
      <w:r w:rsidRPr="009D3E26">
        <w:rPr>
          <w:b/>
          <w:bCs/>
          <w:lang w:val="en-US"/>
        </w:rPr>
        <w:t xml:space="preserve">Proposal </w:t>
      </w:r>
      <w:r>
        <w:rPr>
          <w:b/>
          <w:bCs/>
          <w:lang w:val="en-US"/>
        </w:rPr>
        <w:t>28</w:t>
      </w:r>
      <w:r w:rsidRPr="009D3E26">
        <w:rPr>
          <w:b/>
          <w:bCs/>
          <w:lang w:val="en-US"/>
        </w:rPr>
        <w:t xml:space="preserve">: </w:t>
      </w:r>
      <w:r w:rsidRPr="006B4412">
        <w:rPr>
          <w:b/>
          <w:bCs/>
        </w:rPr>
        <w:t xml:space="preserve">The </w:t>
      </w:r>
      <w:r>
        <w:rPr>
          <w:b/>
          <w:bCs/>
        </w:rPr>
        <w:t xml:space="preserve">SBFD DL </w:t>
      </w:r>
      <w:r w:rsidRPr="006B4412">
        <w:rPr>
          <w:b/>
          <w:bCs/>
        </w:rPr>
        <w:t xml:space="preserve">performance degradation for UMi-to-UMi Case </w:t>
      </w:r>
      <w:r>
        <w:rPr>
          <w:b/>
          <w:bCs/>
        </w:rPr>
        <w:t>4</w:t>
      </w:r>
      <w:r w:rsidRPr="006B4412">
        <w:rPr>
          <w:b/>
          <w:bCs/>
        </w:rPr>
        <w:t xml:space="preserve"> is acceptable when </w:t>
      </w:r>
      <w:r>
        <w:rPr>
          <w:b/>
          <w:bCs/>
        </w:rPr>
        <w:t>TDD UL is adopted in the aggressor network.</w:t>
      </w:r>
    </w:p>
    <w:p w14:paraId="3A48EE61" w14:textId="77777777" w:rsidR="007C462B" w:rsidRPr="006B4412" w:rsidRDefault="007C462B" w:rsidP="007C462B">
      <w:pPr>
        <w:rPr>
          <w:b/>
          <w:bCs/>
        </w:rPr>
      </w:pPr>
      <w:r w:rsidRPr="009D3E26">
        <w:rPr>
          <w:b/>
          <w:bCs/>
          <w:lang w:val="en-US"/>
        </w:rPr>
        <w:t xml:space="preserve">Proposal </w:t>
      </w:r>
      <w:r>
        <w:rPr>
          <w:b/>
          <w:bCs/>
          <w:lang w:val="en-US"/>
        </w:rPr>
        <w:t>29</w:t>
      </w:r>
      <w:r w:rsidRPr="009D3E26">
        <w:rPr>
          <w:b/>
          <w:bCs/>
          <w:lang w:val="en-US"/>
        </w:rPr>
        <w:t xml:space="preserve">: </w:t>
      </w:r>
      <w:r w:rsidRPr="006B4412">
        <w:rPr>
          <w:b/>
          <w:bCs/>
        </w:rPr>
        <w:t xml:space="preserve">The </w:t>
      </w:r>
      <w:r>
        <w:rPr>
          <w:b/>
          <w:bCs/>
        </w:rPr>
        <w:t xml:space="preserve">SBFD UL </w:t>
      </w:r>
      <w:r w:rsidRPr="006B4412">
        <w:rPr>
          <w:b/>
          <w:bCs/>
        </w:rPr>
        <w:t xml:space="preserve">performance degradation for UMi-to-UMi Case </w:t>
      </w:r>
      <w:r>
        <w:rPr>
          <w:b/>
          <w:bCs/>
        </w:rPr>
        <w:t>4</w:t>
      </w:r>
      <w:r w:rsidRPr="006B4412">
        <w:rPr>
          <w:b/>
          <w:bCs/>
        </w:rPr>
        <w:t xml:space="preserve"> is acceptable when </w:t>
      </w:r>
      <w:r>
        <w:rPr>
          <w:b/>
          <w:bCs/>
        </w:rPr>
        <w:t>TDD UL is adopted in the aggressor network.</w:t>
      </w:r>
    </w:p>
    <w:p w14:paraId="056EE5EB" w14:textId="77777777" w:rsidR="007C462B" w:rsidRPr="006B4412" w:rsidRDefault="007C462B" w:rsidP="007C462B">
      <w:pPr>
        <w:rPr>
          <w:b/>
          <w:bCs/>
        </w:rPr>
      </w:pPr>
      <w:r w:rsidRPr="009D3E26">
        <w:rPr>
          <w:b/>
          <w:bCs/>
          <w:lang w:val="en-US"/>
        </w:rPr>
        <w:t xml:space="preserve">Proposal </w:t>
      </w:r>
      <w:r>
        <w:rPr>
          <w:b/>
          <w:bCs/>
          <w:lang w:val="en-US"/>
        </w:rPr>
        <w:t>30</w:t>
      </w:r>
      <w:r w:rsidRPr="009D3E26">
        <w:rPr>
          <w:b/>
          <w:bCs/>
          <w:lang w:val="en-US"/>
        </w:rPr>
        <w:t xml:space="preserve">: </w:t>
      </w:r>
      <w:r w:rsidRPr="006B4412">
        <w:rPr>
          <w:b/>
          <w:bCs/>
        </w:rPr>
        <w:t xml:space="preserve">The </w:t>
      </w:r>
      <w:r>
        <w:rPr>
          <w:b/>
          <w:bCs/>
        </w:rPr>
        <w:t xml:space="preserve">SBFD DL </w:t>
      </w:r>
      <w:r w:rsidRPr="006B4412">
        <w:rPr>
          <w:b/>
          <w:bCs/>
        </w:rPr>
        <w:t>performance degradation for U</w:t>
      </w:r>
      <w:r>
        <w:rPr>
          <w:b/>
          <w:bCs/>
        </w:rPr>
        <w:t>rban Macro</w:t>
      </w:r>
      <w:r w:rsidRPr="006B4412">
        <w:rPr>
          <w:b/>
          <w:bCs/>
        </w:rPr>
        <w:t xml:space="preserve"> </w:t>
      </w:r>
      <w:r>
        <w:rPr>
          <w:b/>
          <w:bCs/>
        </w:rPr>
        <w:t xml:space="preserve">FR2-1 </w:t>
      </w:r>
      <w:r w:rsidRPr="006B4412">
        <w:rPr>
          <w:b/>
          <w:bCs/>
        </w:rPr>
        <w:t xml:space="preserve">Case </w:t>
      </w:r>
      <w:r>
        <w:rPr>
          <w:b/>
          <w:bCs/>
        </w:rPr>
        <w:t>4</w:t>
      </w:r>
      <w:r w:rsidRPr="006B4412">
        <w:rPr>
          <w:b/>
          <w:bCs/>
        </w:rPr>
        <w:t xml:space="preserve"> is acceptable when </w:t>
      </w:r>
      <w:r>
        <w:rPr>
          <w:b/>
          <w:bCs/>
        </w:rPr>
        <w:t>TDD UL is adopted in the aggressor network.</w:t>
      </w:r>
    </w:p>
    <w:p w14:paraId="6921408D" w14:textId="04BBBE21" w:rsidR="005C792F" w:rsidRPr="00B334F7" w:rsidRDefault="007C462B" w:rsidP="00DC4F93">
      <w:pPr>
        <w:rPr>
          <w:lang w:val="en-US"/>
        </w:rPr>
      </w:pPr>
      <w:r w:rsidRPr="009D3E26">
        <w:rPr>
          <w:b/>
          <w:bCs/>
          <w:lang w:val="en-US"/>
        </w:rPr>
        <w:t xml:space="preserve">Proposal </w:t>
      </w:r>
      <w:r>
        <w:rPr>
          <w:b/>
          <w:bCs/>
          <w:lang w:val="en-US"/>
        </w:rPr>
        <w:t>31</w:t>
      </w:r>
      <w:r w:rsidRPr="009D3E26">
        <w:rPr>
          <w:b/>
          <w:bCs/>
          <w:lang w:val="en-US"/>
        </w:rPr>
        <w:t xml:space="preserve">: </w:t>
      </w:r>
      <w:r w:rsidRPr="006B4412">
        <w:rPr>
          <w:b/>
          <w:bCs/>
        </w:rPr>
        <w:t xml:space="preserve">The </w:t>
      </w:r>
      <w:r>
        <w:rPr>
          <w:b/>
          <w:bCs/>
        </w:rPr>
        <w:t xml:space="preserve">SBFD UL </w:t>
      </w:r>
      <w:r w:rsidRPr="006B4412">
        <w:rPr>
          <w:b/>
          <w:bCs/>
        </w:rPr>
        <w:t>performance degradation for U</w:t>
      </w:r>
      <w:r>
        <w:rPr>
          <w:b/>
          <w:bCs/>
        </w:rPr>
        <w:t>rban Macro</w:t>
      </w:r>
      <w:r w:rsidRPr="006B4412">
        <w:rPr>
          <w:b/>
          <w:bCs/>
        </w:rPr>
        <w:t xml:space="preserve"> </w:t>
      </w:r>
      <w:r>
        <w:rPr>
          <w:b/>
          <w:bCs/>
        </w:rPr>
        <w:t xml:space="preserve">FR2-1 </w:t>
      </w:r>
      <w:r w:rsidRPr="006B4412">
        <w:rPr>
          <w:b/>
          <w:bCs/>
        </w:rPr>
        <w:t xml:space="preserve">Case </w:t>
      </w:r>
      <w:r>
        <w:rPr>
          <w:b/>
          <w:bCs/>
        </w:rPr>
        <w:t>4</w:t>
      </w:r>
      <w:r w:rsidRPr="006B4412">
        <w:rPr>
          <w:b/>
          <w:bCs/>
        </w:rPr>
        <w:t xml:space="preserve"> is acceptable when </w:t>
      </w:r>
      <w:r>
        <w:rPr>
          <w:b/>
          <w:bCs/>
        </w:rPr>
        <w:t>TDD UL is adopted in the aggressor network.</w:t>
      </w:r>
    </w:p>
    <w:p w14:paraId="6A581040" w14:textId="77777777" w:rsidR="00DC4F93" w:rsidRDefault="00DC4F93" w:rsidP="007E4424">
      <w:pPr>
        <w:rPr>
          <w:rFonts w:ascii="Times New Roman" w:hAnsi="Times New Roman" w:cs="Times New Roman"/>
          <w:lang w:val="en-US"/>
        </w:rPr>
      </w:pPr>
    </w:p>
    <w:p w14:paraId="70D2EA71" w14:textId="037B2045" w:rsidR="0010253A" w:rsidRPr="001C3078" w:rsidRDefault="0010253A" w:rsidP="0010253A">
      <w:pPr>
        <w:pStyle w:val="Heading1"/>
        <w:ind w:left="0" w:firstLine="0"/>
        <w:rPr>
          <w:rFonts w:ascii="Yu Mincho" w:hAnsi="Yu Mincho" w:cs="Yu Mincho"/>
          <w:lang w:val="en-US" w:eastAsia="ja-JP"/>
        </w:rPr>
      </w:pPr>
      <w:r w:rsidRPr="001C3078">
        <w:rPr>
          <w:rFonts w:ascii="Yu Mincho" w:hAnsi="Yu Mincho" w:cs="Yu Mincho"/>
          <w:lang w:val="en-US" w:eastAsia="ja-JP"/>
        </w:rPr>
        <w:t xml:space="preserve">References </w:t>
      </w:r>
    </w:p>
    <w:p w14:paraId="5AC89A5A" w14:textId="1596A388" w:rsidR="00A7779A" w:rsidRPr="0045348A" w:rsidRDefault="59AFA31E" w:rsidP="00425431">
      <w:pPr>
        <w:overflowPunct/>
        <w:autoSpaceDE/>
        <w:autoSpaceDN/>
        <w:adjustRightInd/>
        <w:spacing w:after="60"/>
        <w:textAlignment w:val="auto"/>
        <w:rPr>
          <w:rFonts w:eastAsia="Times New Roman"/>
          <w:lang w:val="en-US" w:eastAsia="zh-CN"/>
        </w:rPr>
      </w:pPr>
      <w:r w:rsidRPr="0045348A">
        <w:rPr>
          <w:rFonts w:eastAsia="Times New Roman"/>
          <w:lang w:val="en-US" w:eastAsia="zh-CN"/>
        </w:rPr>
        <w:t xml:space="preserve">[1] </w:t>
      </w:r>
      <w:r w:rsidR="00812DF3" w:rsidRPr="0045348A">
        <w:rPr>
          <w:rFonts w:eastAsia="Times New Roman"/>
          <w:lang w:val="en-US" w:eastAsia="zh-CN"/>
        </w:rPr>
        <w:t>RP</w:t>
      </w:r>
      <w:r w:rsidR="00360992" w:rsidRPr="0045348A">
        <w:rPr>
          <w:rFonts w:eastAsia="Times New Roman"/>
          <w:lang w:val="en-US" w:eastAsia="zh-CN"/>
        </w:rPr>
        <w:t>-2</w:t>
      </w:r>
      <w:r w:rsidR="009E42A8" w:rsidRPr="0045348A">
        <w:rPr>
          <w:rFonts w:eastAsia="Times New Roman"/>
          <w:lang w:val="en-US" w:eastAsia="zh-CN"/>
        </w:rPr>
        <w:t>21352</w:t>
      </w:r>
      <w:r w:rsidR="00360992" w:rsidRPr="0045348A">
        <w:rPr>
          <w:rFonts w:eastAsia="Times New Roman"/>
          <w:lang w:val="en-US" w:eastAsia="zh-CN"/>
        </w:rPr>
        <w:t>, “</w:t>
      </w:r>
      <w:r w:rsidR="00812DF3" w:rsidRPr="0045348A">
        <w:rPr>
          <w:rFonts w:eastAsia="Times New Roman"/>
          <w:i/>
          <w:lang w:val="en-US" w:eastAsia="zh-CN"/>
        </w:rPr>
        <w:t>Study on Evolution of NR Duplex Operation</w:t>
      </w:r>
      <w:r w:rsidR="005E0408" w:rsidRPr="0045348A">
        <w:rPr>
          <w:rFonts w:eastAsia="Times New Roman"/>
          <w:lang w:val="en-US" w:eastAsia="zh-CN"/>
        </w:rPr>
        <w:t xml:space="preserve">”, </w:t>
      </w:r>
      <w:r w:rsidR="00812DF3" w:rsidRPr="0045348A">
        <w:rPr>
          <w:rFonts w:eastAsia="Times New Roman"/>
          <w:lang w:val="en-US" w:eastAsia="zh-CN"/>
        </w:rPr>
        <w:t>CMCC</w:t>
      </w:r>
      <w:bookmarkEnd w:id="0"/>
    </w:p>
    <w:p w14:paraId="1206C729" w14:textId="7E7E3F2E" w:rsidR="00350E0E" w:rsidRPr="0045348A" w:rsidRDefault="00350E0E" w:rsidP="001A3537">
      <w:pPr>
        <w:overflowPunct/>
        <w:autoSpaceDE/>
        <w:autoSpaceDN/>
        <w:adjustRightInd/>
        <w:spacing w:after="60"/>
        <w:textAlignment w:val="auto"/>
        <w:rPr>
          <w:rFonts w:eastAsia="Times New Roman"/>
          <w:lang w:val="en-US" w:eastAsia="zh-CN"/>
        </w:rPr>
      </w:pPr>
      <w:r w:rsidRPr="0045348A">
        <w:rPr>
          <w:rFonts w:eastAsia="Times New Roman"/>
          <w:lang w:val="en-US" w:eastAsia="zh-CN"/>
        </w:rPr>
        <w:t>[</w:t>
      </w:r>
      <w:r w:rsidR="0045348A">
        <w:rPr>
          <w:rFonts w:eastAsia="Times New Roman"/>
          <w:lang w:val="en-US" w:eastAsia="zh-CN"/>
        </w:rPr>
        <w:t>2</w:t>
      </w:r>
      <w:r w:rsidRPr="0045348A">
        <w:rPr>
          <w:rFonts w:eastAsia="Times New Roman"/>
          <w:lang w:val="en-US" w:eastAsia="zh-CN"/>
        </w:rPr>
        <w:t xml:space="preserve">] </w:t>
      </w:r>
      <w:r w:rsidR="00C45698" w:rsidRPr="0045348A">
        <w:rPr>
          <w:rFonts w:eastAsia="Times New Roman"/>
          <w:lang w:val="en-US" w:eastAsia="zh-CN"/>
        </w:rPr>
        <w:t>R4-2305921</w:t>
      </w:r>
      <w:r w:rsidRPr="0045348A">
        <w:rPr>
          <w:rFonts w:eastAsia="Times New Roman"/>
          <w:lang w:val="en-US" w:eastAsia="zh-CN"/>
        </w:rPr>
        <w:t xml:space="preserve">, </w:t>
      </w:r>
      <w:r w:rsidR="0045348A" w:rsidRPr="0045348A">
        <w:rPr>
          <w:rFonts w:eastAsia="Times New Roman"/>
          <w:lang w:val="en-US" w:eastAsia="zh-CN"/>
        </w:rPr>
        <w:t>“</w:t>
      </w:r>
      <w:r w:rsidRPr="00EF7212">
        <w:rPr>
          <w:rFonts w:eastAsia="Times New Roman"/>
          <w:i/>
          <w:iCs/>
          <w:lang w:val="en-US" w:eastAsia="zh-CN"/>
        </w:rPr>
        <w:t>WF for SBFD adjacent channel co-existence study</w:t>
      </w:r>
      <w:r w:rsidR="0045348A" w:rsidRPr="0045348A">
        <w:rPr>
          <w:rFonts w:eastAsia="Times New Roman"/>
          <w:lang w:val="en-US" w:eastAsia="zh-CN"/>
        </w:rPr>
        <w:t>”</w:t>
      </w:r>
      <w:r w:rsidRPr="0045348A">
        <w:rPr>
          <w:rFonts w:eastAsia="Times New Roman"/>
          <w:lang w:val="en-US" w:eastAsia="zh-CN"/>
        </w:rPr>
        <w:t>, CMCC</w:t>
      </w:r>
    </w:p>
    <w:p w14:paraId="691D059E" w14:textId="47E77607" w:rsidR="00827DD6" w:rsidRPr="0045348A" w:rsidRDefault="00827DD6" w:rsidP="001A3537">
      <w:pPr>
        <w:overflowPunct/>
        <w:autoSpaceDE/>
        <w:autoSpaceDN/>
        <w:adjustRightInd/>
        <w:spacing w:after="60"/>
        <w:textAlignment w:val="auto"/>
        <w:rPr>
          <w:lang w:val="en-US"/>
        </w:rPr>
      </w:pPr>
      <w:r w:rsidRPr="0045348A">
        <w:rPr>
          <w:rFonts w:eastAsia="Times New Roman"/>
          <w:lang w:val="en-US" w:eastAsia="zh-CN"/>
        </w:rPr>
        <w:t>[</w:t>
      </w:r>
      <w:r w:rsidR="0045348A">
        <w:rPr>
          <w:rFonts w:eastAsia="Times New Roman"/>
          <w:lang w:val="en-US" w:eastAsia="zh-CN"/>
        </w:rPr>
        <w:t>3</w:t>
      </w:r>
      <w:r w:rsidRPr="0045348A">
        <w:rPr>
          <w:rFonts w:eastAsia="Times New Roman"/>
          <w:lang w:val="en-US" w:eastAsia="zh-CN"/>
        </w:rPr>
        <w:t>]</w:t>
      </w:r>
      <w:r w:rsidR="00065FC3" w:rsidRPr="0045348A">
        <w:rPr>
          <w:rFonts w:eastAsia="Times New Roman"/>
          <w:lang w:val="en-US" w:eastAsia="zh-CN"/>
        </w:rPr>
        <w:t xml:space="preserve"> R4-2305922</w:t>
      </w:r>
      <w:r w:rsidRPr="0045348A">
        <w:rPr>
          <w:rFonts w:eastAsia="Times New Roman"/>
          <w:lang w:val="en-US" w:eastAsia="zh-CN"/>
        </w:rPr>
        <w:t>,</w:t>
      </w:r>
      <w:r w:rsidRPr="00EF7212">
        <w:t xml:space="preserve"> </w:t>
      </w:r>
      <w:r w:rsidR="00065FC3" w:rsidRPr="00EF7212">
        <w:t>“</w:t>
      </w:r>
      <w:r w:rsidRPr="00EF7212">
        <w:rPr>
          <w:i/>
          <w:iCs/>
        </w:rPr>
        <w:t>WF for SBFD adjacent channel co-existence study for UMa-to-UMi scenario</w:t>
      </w:r>
      <w:r w:rsidR="00065FC3" w:rsidRPr="00EF7212">
        <w:t>”, CMCC, CableLabs</w:t>
      </w:r>
    </w:p>
    <w:p w14:paraId="37AC81FA" w14:textId="5BAF013C" w:rsidR="00827DD6" w:rsidRPr="00EF7212" w:rsidRDefault="00505A9B" w:rsidP="001A3537">
      <w:pPr>
        <w:spacing w:line="259" w:lineRule="auto"/>
        <w:rPr>
          <w:rFonts w:eastAsia="Times New Roman"/>
          <w:lang w:val="en-US" w:eastAsia="zh-CN"/>
        </w:rPr>
      </w:pPr>
      <w:r w:rsidRPr="0045348A">
        <w:rPr>
          <w:lang w:val="en-US"/>
        </w:rPr>
        <w:t>[</w:t>
      </w:r>
      <w:r w:rsidR="0045348A">
        <w:rPr>
          <w:lang w:val="en-US"/>
        </w:rPr>
        <w:t>4</w:t>
      </w:r>
      <w:r w:rsidRPr="0045348A">
        <w:rPr>
          <w:lang w:val="en-US"/>
        </w:rPr>
        <w:t xml:space="preserve">] </w:t>
      </w:r>
      <w:r w:rsidR="000F64A5" w:rsidRPr="00EF7212">
        <w:rPr>
          <w:rFonts w:eastAsia="Times New Roman"/>
          <w:lang w:val="en-US" w:eastAsia="zh-CN"/>
        </w:rPr>
        <w:t>R4-2305923</w:t>
      </w:r>
      <w:r w:rsidRPr="00EF7212">
        <w:rPr>
          <w:rFonts w:eastAsia="Times New Roman"/>
          <w:lang w:val="en-US" w:eastAsia="zh-CN"/>
        </w:rPr>
        <w:t xml:space="preserve">, </w:t>
      </w:r>
      <w:r w:rsidR="00065FC3" w:rsidRPr="0045348A">
        <w:rPr>
          <w:rFonts w:eastAsia="Times New Roman"/>
          <w:lang w:val="en-US" w:eastAsia="zh-CN"/>
        </w:rPr>
        <w:t>“</w:t>
      </w:r>
      <w:r w:rsidRPr="00EF7212">
        <w:rPr>
          <w:rFonts w:eastAsia="Times New Roman"/>
          <w:i/>
          <w:iCs/>
          <w:lang w:val="en-US" w:eastAsia="zh-CN"/>
        </w:rPr>
        <w:t>Summary of co-existence simulation parameters</w:t>
      </w:r>
      <w:r w:rsidR="00065FC3" w:rsidRPr="0045348A">
        <w:rPr>
          <w:rFonts w:eastAsia="Times New Roman"/>
          <w:lang w:val="en-US" w:eastAsia="zh-CN"/>
        </w:rPr>
        <w:t>”</w:t>
      </w:r>
      <w:r w:rsidRPr="00EF7212">
        <w:rPr>
          <w:rFonts w:eastAsia="Times New Roman"/>
          <w:lang w:val="en-US" w:eastAsia="zh-CN"/>
        </w:rPr>
        <w:t>, CMCC, CableLabs, Samsung</w:t>
      </w:r>
    </w:p>
    <w:p w14:paraId="298C0A59" w14:textId="63CFAA37" w:rsidR="00B167F9" w:rsidRDefault="00B167F9" w:rsidP="001A3537">
      <w:pPr>
        <w:spacing w:line="259" w:lineRule="auto"/>
        <w:rPr>
          <w:rFonts w:eastAsia="Times New Roman"/>
          <w:lang w:val="en-US" w:eastAsia="zh-CN"/>
        </w:rPr>
      </w:pPr>
      <w:r>
        <w:rPr>
          <w:rFonts w:eastAsia="Times New Roman"/>
          <w:lang w:val="en-US" w:eastAsia="zh-CN"/>
        </w:rPr>
        <w:t xml:space="preserve">[5] R4-2314005, “Draft TR </w:t>
      </w:r>
      <w:r w:rsidR="00BF6DC6">
        <w:rPr>
          <w:rFonts w:eastAsia="Times New Roman"/>
          <w:lang w:val="en-US" w:eastAsia="zh-CN"/>
        </w:rPr>
        <w:t>38.858</w:t>
      </w:r>
      <w:r>
        <w:rPr>
          <w:rFonts w:eastAsia="Times New Roman"/>
          <w:lang w:val="en-US" w:eastAsia="zh-CN"/>
        </w:rPr>
        <w:t xml:space="preserve">”, </w:t>
      </w:r>
      <w:r w:rsidR="00744E7B">
        <w:rPr>
          <w:rFonts w:eastAsia="Times New Roman"/>
          <w:lang w:val="en-US" w:eastAsia="zh-CN"/>
        </w:rPr>
        <w:t>CMCC</w:t>
      </w:r>
    </w:p>
    <w:p w14:paraId="354AA606" w14:textId="77777777" w:rsidR="00B167F9" w:rsidRPr="00EF7212" w:rsidRDefault="00B167F9" w:rsidP="001A3537">
      <w:pPr>
        <w:spacing w:line="259" w:lineRule="auto"/>
        <w:rPr>
          <w:rFonts w:eastAsia="Times New Roman"/>
          <w:lang w:val="en-US" w:eastAsia="zh-CN"/>
        </w:rPr>
      </w:pPr>
    </w:p>
    <w:p w14:paraId="0ADCA7EF" w14:textId="77BCB83A" w:rsidR="00827DD6" w:rsidRPr="00EF7212" w:rsidRDefault="00827DD6" w:rsidP="001A3537">
      <w:pPr>
        <w:spacing w:line="259" w:lineRule="auto"/>
        <w:rPr>
          <w:rFonts w:eastAsia="Times New Roman"/>
          <w:lang w:val="en-US" w:eastAsia="zh-CN"/>
        </w:rPr>
      </w:pPr>
    </w:p>
    <w:sectPr w:rsidR="00827DD6" w:rsidRPr="00EF7212" w:rsidSect="003D2D8F">
      <w:headerReference w:type="default" r:id="rId33"/>
      <w:footerReference w:type="default" r:id="rId3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5663A" w14:textId="77777777" w:rsidR="00CC7EE0" w:rsidRDefault="00CC7EE0">
      <w:r>
        <w:separator/>
      </w:r>
    </w:p>
    <w:p w14:paraId="5CBFB921" w14:textId="77777777" w:rsidR="00CC7EE0" w:rsidRDefault="00CC7EE0"/>
  </w:endnote>
  <w:endnote w:type="continuationSeparator" w:id="0">
    <w:p w14:paraId="79475DAB" w14:textId="77777777" w:rsidR="00CC7EE0" w:rsidRDefault="00CC7EE0">
      <w:r>
        <w:continuationSeparator/>
      </w:r>
    </w:p>
    <w:p w14:paraId="41E1613B" w14:textId="77777777" w:rsidR="00CC7EE0" w:rsidRDefault="00CC7EE0"/>
  </w:endnote>
  <w:endnote w:type="continuationNotice" w:id="1">
    <w:p w14:paraId="28CDB9B9" w14:textId="77777777" w:rsidR="00CC7EE0" w:rsidRDefault="00CC7E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7" w:usb1="40000000" w:usb2="00000000" w:usb3="00000000" w:csb0="0000009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ì??">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08901" w14:textId="77777777" w:rsidR="00CC7EE0" w:rsidRDefault="00CC7EE0">
      <w:r>
        <w:separator/>
      </w:r>
    </w:p>
    <w:p w14:paraId="3F64BFF5" w14:textId="77777777" w:rsidR="00CC7EE0" w:rsidRDefault="00CC7EE0"/>
  </w:footnote>
  <w:footnote w:type="continuationSeparator" w:id="0">
    <w:p w14:paraId="0015D25C" w14:textId="77777777" w:rsidR="00CC7EE0" w:rsidRDefault="00CC7EE0">
      <w:r>
        <w:continuationSeparator/>
      </w:r>
    </w:p>
    <w:p w14:paraId="6033C76C" w14:textId="77777777" w:rsidR="00CC7EE0" w:rsidRDefault="00CC7EE0"/>
  </w:footnote>
  <w:footnote w:type="continuationNotice" w:id="1">
    <w:p w14:paraId="7FDA7854" w14:textId="77777777" w:rsidR="00CC7EE0" w:rsidRDefault="00CC7E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023014"/>
    <w:multiLevelType w:val="multilevel"/>
    <w:tmpl w:val="A102301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296DB01"/>
    <w:multiLevelType w:val="multilevel"/>
    <w:tmpl w:val="D296DB01"/>
    <w:lvl w:ilvl="0">
      <w:start w:val="1"/>
      <w:numFmt w:val="bullet"/>
      <w:lvlText w:val=""/>
      <w:lvlJc w:val="left"/>
      <w:pPr>
        <w:ind w:left="420" w:hanging="420"/>
      </w:pPr>
      <w:rPr>
        <w:rFonts w:ascii="Wingdings" w:hAnsi="Wingdings" w:cs="Wingdings" w:hint="default"/>
      </w:rPr>
    </w:lvl>
    <w:lvl w:ilv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01DF7867"/>
    <w:multiLevelType w:val="multilevel"/>
    <w:tmpl w:val="01DF7867"/>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984" w:hanging="360"/>
      </w:pPr>
      <w:rPr>
        <w:rFonts w:ascii="Courier New" w:hAnsi="Courier New" w:cs="Courier New" w:hint="default"/>
      </w:rPr>
    </w:lvl>
    <w:lvl w:ilvl="2">
      <w:start w:val="1"/>
      <w:numFmt w:val="bullet"/>
      <w:lvlText w:val=""/>
      <w:lvlJc w:val="left"/>
      <w:pPr>
        <w:ind w:left="1704" w:hanging="360"/>
      </w:pPr>
      <w:rPr>
        <w:rFonts w:ascii="Wingdings" w:hAnsi="Wingdings" w:hint="default"/>
      </w:rPr>
    </w:lvl>
    <w:lvl w:ilvl="3">
      <w:start w:val="1"/>
      <w:numFmt w:val="bullet"/>
      <w:lvlText w:val=""/>
      <w:lvlJc w:val="left"/>
      <w:pPr>
        <w:ind w:left="2424" w:hanging="360"/>
      </w:pPr>
      <w:rPr>
        <w:rFonts w:ascii="Symbol" w:hAnsi="Symbol" w:hint="default"/>
      </w:rPr>
    </w:lvl>
    <w:lvl w:ilvl="4">
      <w:start w:val="1"/>
      <w:numFmt w:val="bullet"/>
      <w:lvlText w:val="o"/>
      <w:lvlJc w:val="left"/>
      <w:pPr>
        <w:ind w:left="3144" w:hanging="360"/>
      </w:pPr>
      <w:rPr>
        <w:rFonts w:ascii="Courier New" w:hAnsi="Courier New" w:cs="Courier New" w:hint="default"/>
      </w:rPr>
    </w:lvl>
    <w:lvl w:ilvl="5">
      <w:start w:val="1"/>
      <w:numFmt w:val="bullet"/>
      <w:lvlText w:val=""/>
      <w:lvlJc w:val="left"/>
      <w:pPr>
        <w:ind w:left="3864" w:hanging="360"/>
      </w:pPr>
      <w:rPr>
        <w:rFonts w:ascii="Wingdings" w:hAnsi="Wingdings" w:hint="default"/>
      </w:rPr>
    </w:lvl>
    <w:lvl w:ilvl="6">
      <w:start w:val="1"/>
      <w:numFmt w:val="bullet"/>
      <w:lvlText w:val=""/>
      <w:lvlJc w:val="left"/>
      <w:pPr>
        <w:ind w:left="4584" w:hanging="360"/>
      </w:pPr>
      <w:rPr>
        <w:rFonts w:ascii="Symbol" w:hAnsi="Symbol" w:hint="default"/>
      </w:rPr>
    </w:lvl>
    <w:lvl w:ilvl="7">
      <w:start w:val="1"/>
      <w:numFmt w:val="bullet"/>
      <w:lvlText w:val="o"/>
      <w:lvlJc w:val="left"/>
      <w:pPr>
        <w:ind w:left="5304" w:hanging="360"/>
      </w:pPr>
      <w:rPr>
        <w:rFonts w:ascii="Courier New" w:hAnsi="Courier New" w:cs="Courier New" w:hint="default"/>
      </w:rPr>
    </w:lvl>
    <w:lvl w:ilvl="8">
      <w:start w:val="1"/>
      <w:numFmt w:val="bullet"/>
      <w:lvlText w:val=""/>
      <w:lvlJc w:val="left"/>
      <w:pPr>
        <w:ind w:left="6024" w:hanging="360"/>
      </w:pPr>
      <w:rPr>
        <w:rFonts w:ascii="Wingdings" w:hAnsi="Wingdings" w:hint="default"/>
      </w:rPr>
    </w:lvl>
  </w:abstractNum>
  <w:abstractNum w:abstractNumId="3" w15:restartNumberingAfterBreak="0">
    <w:nsid w:val="02442A4B"/>
    <w:multiLevelType w:val="hybridMultilevel"/>
    <w:tmpl w:val="662C2214"/>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5D2DAE"/>
    <w:multiLevelType w:val="hybridMultilevel"/>
    <w:tmpl w:val="CF883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31DF4"/>
    <w:multiLevelType w:val="hybridMultilevel"/>
    <w:tmpl w:val="89BA4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E32921"/>
    <w:multiLevelType w:val="multilevel"/>
    <w:tmpl w:val="08E32921"/>
    <w:lvl w:ilvl="0">
      <w:start w:val="1"/>
      <w:numFmt w:val="decimal"/>
      <w:lvlText w:val="%1)"/>
      <w:lvlJc w:val="left"/>
      <w:pPr>
        <w:ind w:left="360" w:hanging="360"/>
      </w:p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9571132"/>
    <w:multiLevelType w:val="multilevel"/>
    <w:tmpl w:val="A69051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99664D6"/>
    <w:multiLevelType w:val="hybridMultilevel"/>
    <w:tmpl w:val="6896A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5D109E"/>
    <w:multiLevelType w:val="hybridMultilevel"/>
    <w:tmpl w:val="74A6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B41A36"/>
    <w:multiLevelType w:val="hybridMultilevel"/>
    <w:tmpl w:val="03728D8E"/>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183D1E"/>
    <w:multiLevelType w:val="hybridMultilevel"/>
    <w:tmpl w:val="B700FA7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3B2560C"/>
    <w:multiLevelType w:val="hybridMultilevel"/>
    <w:tmpl w:val="C90AFC10"/>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5" w15:restartNumberingAfterBreak="0">
    <w:nsid w:val="14A10D05"/>
    <w:multiLevelType w:val="multilevel"/>
    <w:tmpl w:val="6F6E4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8935F6"/>
    <w:multiLevelType w:val="hybridMultilevel"/>
    <w:tmpl w:val="CBA06D82"/>
    <w:lvl w:ilvl="0" w:tplc="A0DE133E">
      <w:start w:val="1"/>
      <w:numFmt w:val="bullet"/>
      <w:lvlText w:val="•"/>
      <w:lvlJc w:val="left"/>
      <w:pPr>
        <w:ind w:left="-188" w:hanging="420"/>
      </w:pPr>
      <w:rPr>
        <w:rFonts w:ascii="Arial" w:hAnsi="Arial" w:hint="default"/>
      </w:rPr>
    </w:lvl>
    <w:lvl w:ilvl="1" w:tplc="A0DE133E">
      <w:start w:val="1"/>
      <w:numFmt w:val="bullet"/>
      <w:lvlText w:val="•"/>
      <w:lvlJc w:val="left"/>
      <w:pPr>
        <w:ind w:left="-188" w:firstLine="0"/>
      </w:pPr>
      <w:rPr>
        <w:rFonts w:ascii="Arial" w:hAnsi="Arial" w:hint="default"/>
      </w:rPr>
    </w:lvl>
    <w:lvl w:ilvl="2" w:tplc="04090003">
      <w:start w:val="1"/>
      <w:numFmt w:val="bullet"/>
      <w:lvlText w:val="o"/>
      <w:lvlJc w:val="left"/>
      <w:pPr>
        <w:ind w:left="652" w:hanging="420"/>
      </w:pPr>
      <w:rPr>
        <w:rFonts w:ascii="Courier New" w:hAnsi="Courier New" w:cs="Courier New" w:hint="default"/>
      </w:rPr>
    </w:lvl>
    <w:lvl w:ilvl="3" w:tplc="0409000F">
      <w:start w:val="1"/>
      <w:numFmt w:val="decimal"/>
      <w:lvlText w:val="%4."/>
      <w:lvlJc w:val="left"/>
      <w:pPr>
        <w:ind w:left="1072" w:hanging="420"/>
      </w:pPr>
    </w:lvl>
    <w:lvl w:ilvl="4" w:tplc="04090019" w:tentative="1">
      <w:start w:val="1"/>
      <w:numFmt w:val="lowerLetter"/>
      <w:lvlText w:val="%5)"/>
      <w:lvlJc w:val="left"/>
      <w:pPr>
        <w:ind w:left="1492" w:hanging="420"/>
      </w:pPr>
    </w:lvl>
    <w:lvl w:ilvl="5" w:tplc="0409001B" w:tentative="1">
      <w:start w:val="1"/>
      <w:numFmt w:val="lowerRoman"/>
      <w:lvlText w:val="%6."/>
      <w:lvlJc w:val="right"/>
      <w:pPr>
        <w:ind w:left="1912" w:hanging="420"/>
      </w:pPr>
    </w:lvl>
    <w:lvl w:ilvl="6" w:tplc="0409000F" w:tentative="1">
      <w:start w:val="1"/>
      <w:numFmt w:val="decimal"/>
      <w:lvlText w:val="%7."/>
      <w:lvlJc w:val="left"/>
      <w:pPr>
        <w:ind w:left="2332" w:hanging="420"/>
      </w:pPr>
    </w:lvl>
    <w:lvl w:ilvl="7" w:tplc="04090019" w:tentative="1">
      <w:start w:val="1"/>
      <w:numFmt w:val="lowerLetter"/>
      <w:lvlText w:val="%8)"/>
      <w:lvlJc w:val="left"/>
      <w:pPr>
        <w:ind w:left="2752" w:hanging="420"/>
      </w:pPr>
    </w:lvl>
    <w:lvl w:ilvl="8" w:tplc="0409001B" w:tentative="1">
      <w:start w:val="1"/>
      <w:numFmt w:val="lowerRoman"/>
      <w:lvlText w:val="%9."/>
      <w:lvlJc w:val="right"/>
      <w:pPr>
        <w:ind w:left="3172" w:hanging="420"/>
      </w:pPr>
    </w:lvl>
  </w:abstractNum>
  <w:abstractNum w:abstractNumId="17" w15:restartNumberingAfterBreak="0">
    <w:nsid w:val="1AD50BA8"/>
    <w:multiLevelType w:val="multilevel"/>
    <w:tmpl w:val="98C65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9" w15:restartNumberingAfterBreak="0">
    <w:nsid w:val="21A27A9C"/>
    <w:multiLevelType w:val="multilevel"/>
    <w:tmpl w:val="EC8EC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2973CD0"/>
    <w:multiLevelType w:val="multilevel"/>
    <w:tmpl w:val="0409001D"/>
    <w:lvl w:ilvl="0">
      <w:start w:val="1"/>
      <w:numFmt w:val="decimal"/>
      <w:lvlText w:val="%1)"/>
      <w:lvlJc w:val="left"/>
      <w:pPr>
        <w:ind w:left="644" w:hanging="360"/>
      </w:pPr>
      <w:rPr>
        <w:rFonts w:hint="default"/>
      </w:rPr>
    </w:lvl>
    <w:lvl w:ilvl="1">
      <w:start w:val="1"/>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237E43E5"/>
    <w:multiLevelType w:val="multilevel"/>
    <w:tmpl w:val="DB5CE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7B3FFA"/>
    <w:multiLevelType w:val="hybridMultilevel"/>
    <w:tmpl w:val="15CCA6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4A32CE8"/>
    <w:multiLevelType w:val="hybridMultilevel"/>
    <w:tmpl w:val="06A2D6F8"/>
    <w:lvl w:ilvl="0" w:tplc="8E2A6AB4">
      <w:start w:val="1"/>
      <w:numFmt w:val="bullet"/>
      <w:lvlText w:val="-"/>
      <w:lvlJc w:val="left"/>
      <w:pPr>
        <w:tabs>
          <w:tab w:val="num" w:pos="720"/>
        </w:tabs>
        <w:ind w:left="720" w:hanging="360"/>
      </w:pPr>
      <w:rPr>
        <w:rFonts w:ascii="Times" w:hAnsi="Times" w:hint="default"/>
      </w:rPr>
    </w:lvl>
    <w:lvl w:ilvl="1" w:tplc="EA204A5E" w:tentative="1">
      <w:start w:val="1"/>
      <w:numFmt w:val="bullet"/>
      <w:lvlText w:val="-"/>
      <w:lvlJc w:val="left"/>
      <w:pPr>
        <w:tabs>
          <w:tab w:val="num" w:pos="1440"/>
        </w:tabs>
        <w:ind w:left="1440" w:hanging="360"/>
      </w:pPr>
      <w:rPr>
        <w:rFonts w:ascii="Times" w:hAnsi="Times" w:hint="default"/>
      </w:rPr>
    </w:lvl>
    <w:lvl w:ilvl="2" w:tplc="4D9A7960" w:tentative="1">
      <w:start w:val="1"/>
      <w:numFmt w:val="bullet"/>
      <w:lvlText w:val="-"/>
      <w:lvlJc w:val="left"/>
      <w:pPr>
        <w:tabs>
          <w:tab w:val="num" w:pos="2160"/>
        </w:tabs>
        <w:ind w:left="2160" w:hanging="360"/>
      </w:pPr>
      <w:rPr>
        <w:rFonts w:ascii="Times" w:hAnsi="Times" w:hint="default"/>
      </w:rPr>
    </w:lvl>
    <w:lvl w:ilvl="3" w:tplc="C5526AC0" w:tentative="1">
      <w:start w:val="1"/>
      <w:numFmt w:val="bullet"/>
      <w:lvlText w:val="-"/>
      <w:lvlJc w:val="left"/>
      <w:pPr>
        <w:tabs>
          <w:tab w:val="num" w:pos="2880"/>
        </w:tabs>
        <w:ind w:left="2880" w:hanging="360"/>
      </w:pPr>
      <w:rPr>
        <w:rFonts w:ascii="Times" w:hAnsi="Times" w:hint="default"/>
      </w:rPr>
    </w:lvl>
    <w:lvl w:ilvl="4" w:tplc="D5583048" w:tentative="1">
      <w:start w:val="1"/>
      <w:numFmt w:val="bullet"/>
      <w:lvlText w:val="-"/>
      <w:lvlJc w:val="left"/>
      <w:pPr>
        <w:tabs>
          <w:tab w:val="num" w:pos="3600"/>
        </w:tabs>
        <w:ind w:left="3600" w:hanging="360"/>
      </w:pPr>
      <w:rPr>
        <w:rFonts w:ascii="Times" w:hAnsi="Times" w:hint="default"/>
      </w:rPr>
    </w:lvl>
    <w:lvl w:ilvl="5" w:tplc="C2AE4242" w:tentative="1">
      <w:start w:val="1"/>
      <w:numFmt w:val="bullet"/>
      <w:lvlText w:val="-"/>
      <w:lvlJc w:val="left"/>
      <w:pPr>
        <w:tabs>
          <w:tab w:val="num" w:pos="4320"/>
        </w:tabs>
        <w:ind w:left="4320" w:hanging="360"/>
      </w:pPr>
      <w:rPr>
        <w:rFonts w:ascii="Times" w:hAnsi="Times" w:hint="default"/>
      </w:rPr>
    </w:lvl>
    <w:lvl w:ilvl="6" w:tplc="3AF0725C" w:tentative="1">
      <w:start w:val="1"/>
      <w:numFmt w:val="bullet"/>
      <w:lvlText w:val="-"/>
      <w:lvlJc w:val="left"/>
      <w:pPr>
        <w:tabs>
          <w:tab w:val="num" w:pos="5040"/>
        </w:tabs>
        <w:ind w:left="5040" w:hanging="360"/>
      </w:pPr>
      <w:rPr>
        <w:rFonts w:ascii="Times" w:hAnsi="Times" w:hint="default"/>
      </w:rPr>
    </w:lvl>
    <w:lvl w:ilvl="7" w:tplc="BEECF89A" w:tentative="1">
      <w:start w:val="1"/>
      <w:numFmt w:val="bullet"/>
      <w:lvlText w:val="-"/>
      <w:lvlJc w:val="left"/>
      <w:pPr>
        <w:tabs>
          <w:tab w:val="num" w:pos="5760"/>
        </w:tabs>
        <w:ind w:left="5760" w:hanging="360"/>
      </w:pPr>
      <w:rPr>
        <w:rFonts w:ascii="Times" w:hAnsi="Times" w:hint="default"/>
      </w:rPr>
    </w:lvl>
    <w:lvl w:ilvl="8" w:tplc="B87047A6"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256C5F15"/>
    <w:multiLevelType w:val="multilevel"/>
    <w:tmpl w:val="EE0CDAC8"/>
    <w:lvl w:ilvl="0">
      <w:start w:val="2"/>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B6C7F23"/>
    <w:multiLevelType w:val="multilevel"/>
    <w:tmpl w:val="DB5CE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D06267"/>
    <w:multiLevelType w:val="multilevel"/>
    <w:tmpl w:val="A5AC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10B335C"/>
    <w:multiLevelType w:val="hybridMultilevel"/>
    <w:tmpl w:val="1C344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hybridMultilevel"/>
    <w:tmpl w:val="814E2198"/>
    <w:lvl w:ilvl="0" w:tplc="A1C81294">
      <w:start w:val="1"/>
      <w:numFmt w:val="decimal"/>
      <w:pStyle w:val="1"/>
      <w:lvlText w:val=""/>
      <w:lvlJc w:val="left"/>
      <w:pPr>
        <w:ind w:left="360" w:hanging="360"/>
      </w:pPr>
      <w:rPr>
        <w:rFonts w:ascii="Yu Mincho Light" w:hAnsi="Yu Mincho Light" w:cs="Yu Mincho Light"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rPr>
        <w:rFonts w:ascii="Cambria Math" w:hAnsi="Cambria Math" w:cs="Calibri" w:hint="default"/>
        <w:color w:val="D2232A"/>
        <w14:glow w14:rad="0">
          <w14:srgbClr w14:val="000000"/>
        </w14:glow>
        <w14:scene3d>
          <w14:camera w14:prst="orthographicFront"/>
          <w14:lightRig w14:rig="threePt" w14:dir="t">
            <w14:rot w14:lat="0" w14:lon="0" w14:rev="0"/>
          </w14:lightRig>
        </w14:scene3d>
      </w:rPr>
    </w:lvl>
    <w:lvl w:ilvl="8" w:tplc="0409001B">
      <w:numFmt w:val="decimal"/>
      <w:lvlText w:val=""/>
      <w:lvlJc w:val="left"/>
    </w:lvl>
  </w:abstractNum>
  <w:abstractNum w:abstractNumId="34" w15:restartNumberingAfterBreak="0">
    <w:nsid w:val="32A107F4"/>
    <w:multiLevelType w:val="multilevel"/>
    <w:tmpl w:val="8D08E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3284E7E"/>
    <w:multiLevelType w:val="hybridMultilevel"/>
    <w:tmpl w:val="EDB85486"/>
    <w:lvl w:ilvl="0" w:tplc="04090001">
      <w:numFmt w:val="decimal"/>
      <w:pStyle w:val="Head1Mine"/>
      <w:lvlText w:val=""/>
      <w:lvlJc w:val="left"/>
    </w:lvl>
    <w:lvl w:ilvl="1" w:tplc="04090003">
      <w:numFmt w:val="none"/>
      <w:pStyle w:val="Head2Mine"/>
      <w:lvlText w:val=""/>
      <w:lvlJc w:val="left"/>
      <w:pPr>
        <w:tabs>
          <w:tab w:val="num" w:pos="360"/>
        </w:tabs>
      </w:pPr>
    </w:lvl>
    <w:lvl w:ilvl="2" w:tplc="04090005">
      <w:numFmt w:val="decimal"/>
      <w:pStyle w:val="Head3Mine"/>
      <w:lvlText w:val=""/>
      <w:lvlJc w:val="left"/>
    </w:lvl>
    <w:lvl w:ilvl="3" w:tplc="04090001">
      <w:numFmt w:val="decimal"/>
      <w:lvlText w:val=""/>
      <w:lvlJc w:val="left"/>
    </w:lvl>
    <w:lvl w:ilvl="4" w:tplc="04090003">
      <w:numFmt w:val="decimal"/>
      <w:lvlText w:val=""/>
      <w:lvlJc w:val="left"/>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decimal"/>
      <w:lvlText w:val=""/>
      <w:lvlJc w:val="left"/>
    </w:lvl>
    <w:lvl w:ilvl="8" w:tplc="04090005">
      <w:numFmt w:val="decimal"/>
      <w:lvlText w:val=""/>
      <w:lvlJc w:val="left"/>
    </w:lvl>
  </w:abstractNum>
  <w:abstractNum w:abstractNumId="36" w15:restartNumberingAfterBreak="0">
    <w:nsid w:val="37FE574E"/>
    <w:multiLevelType w:val="hybridMultilevel"/>
    <w:tmpl w:val="2C8C4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D036B5"/>
    <w:multiLevelType w:val="hybridMultilevel"/>
    <w:tmpl w:val="E6806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9B23FC"/>
    <w:multiLevelType w:val="multilevel"/>
    <w:tmpl w:val="7D5EF7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B9879EF"/>
    <w:multiLevelType w:val="hybridMultilevel"/>
    <w:tmpl w:val="079AF90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C636543"/>
    <w:multiLevelType w:val="multilevel"/>
    <w:tmpl w:val="3C636543"/>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D3E3422"/>
    <w:multiLevelType w:val="multilevel"/>
    <w:tmpl w:val="A1DE70A4"/>
    <w:lvl w:ilvl="0">
      <w:start w:val="1"/>
      <w:numFmt w:val="decimal"/>
      <w:lvlText w:val="%1."/>
      <w:lvlJc w:val="left"/>
      <w:rPr>
        <w:rFonts w:ascii="Arial" w:hAnsi="Arial" w:cs="Arial" w:hint="default"/>
        <w:color w:val="000000" w:themeColor="text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E7142AC"/>
    <w:multiLevelType w:val="hybridMultilevel"/>
    <w:tmpl w:val="226CF5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15:restartNumberingAfterBreak="0">
    <w:nsid w:val="3FF8577C"/>
    <w:multiLevelType w:val="hybridMultilevel"/>
    <w:tmpl w:val="F66AD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763AB5"/>
    <w:multiLevelType w:val="hybridMultilevel"/>
    <w:tmpl w:val="BF4A164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5" w15:restartNumberingAfterBreak="0">
    <w:nsid w:val="427E184A"/>
    <w:multiLevelType w:val="hybridMultilevel"/>
    <w:tmpl w:val="F51A9A3A"/>
    <w:lvl w:ilvl="0" w:tplc="599AD8DA">
      <w:numFmt w:val="decimal"/>
      <w:pStyle w:val="ECCParBulleted"/>
      <w:lvlText w:val=""/>
      <w:lvlJc w:val="left"/>
    </w:lvl>
    <w:lvl w:ilvl="1" w:tplc="D1AC4AAC">
      <w:numFmt w:val="decimal"/>
      <w:lvlText w:val=""/>
      <w:lvlJc w:val="left"/>
    </w:lvl>
    <w:lvl w:ilvl="2" w:tplc="250EECF8">
      <w:numFmt w:val="decimal"/>
      <w:lvlText w:val=""/>
      <w:lvlJc w:val="left"/>
    </w:lvl>
    <w:lvl w:ilvl="3" w:tplc="7C4ABC66">
      <w:numFmt w:val="decimal"/>
      <w:lvlText w:val=""/>
      <w:lvlJc w:val="left"/>
    </w:lvl>
    <w:lvl w:ilvl="4" w:tplc="3EEC50EE">
      <w:numFmt w:val="decimal"/>
      <w:lvlText w:val=""/>
      <w:lvlJc w:val="left"/>
    </w:lvl>
    <w:lvl w:ilvl="5" w:tplc="4C9C5EBE">
      <w:numFmt w:val="decimal"/>
      <w:lvlText w:val=""/>
      <w:lvlJc w:val="left"/>
    </w:lvl>
    <w:lvl w:ilvl="6" w:tplc="3A88F0D8">
      <w:numFmt w:val="decimal"/>
      <w:lvlText w:val=""/>
      <w:lvlJc w:val="left"/>
    </w:lvl>
    <w:lvl w:ilvl="7" w:tplc="480C6B0C">
      <w:numFmt w:val="decimal"/>
      <w:lvlText w:val=""/>
      <w:lvlJc w:val="left"/>
    </w:lvl>
    <w:lvl w:ilvl="8" w:tplc="421A464E">
      <w:numFmt w:val="decimal"/>
      <w:lvlText w:val=""/>
      <w:lvlJc w:val="left"/>
    </w:lvl>
  </w:abstractNum>
  <w:abstractNum w:abstractNumId="46" w15:restartNumberingAfterBreak="0">
    <w:nsid w:val="42EB7ED4"/>
    <w:multiLevelType w:val="multilevel"/>
    <w:tmpl w:val="C20A9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31415D2"/>
    <w:multiLevelType w:val="hybridMultilevel"/>
    <w:tmpl w:val="96DAB7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43247D5E"/>
    <w:multiLevelType w:val="hybridMultilevel"/>
    <w:tmpl w:val="A0A6AC20"/>
    <w:lvl w:ilvl="0" w:tplc="04090001">
      <w:start w:val="1"/>
      <w:numFmt w:val="bullet"/>
      <w:lvlText w:val=""/>
      <w:lvlJc w:val="left"/>
      <w:rPr>
        <w:rFonts w:ascii="Symbol" w:hAnsi="Symbol"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9" w15:restartNumberingAfterBreak="0">
    <w:nsid w:val="43BC98CE"/>
    <w:multiLevelType w:val="multilevel"/>
    <w:tmpl w:val="43BC98C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0" w15:restartNumberingAfterBreak="0">
    <w:nsid w:val="5083067E"/>
    <w:multiLevelType w:val="multilevel"/>
    <w:tmpl w:val="86BC46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14D337A"/>
    <w:multiLevelType w:val="hybridMultilevel"/>
    <w:tmpl w:val="688C4D04"/>
    <w:lvl w:ilvl="0" w:tplc="89C827D0">
      <w:numFmt w:val="decimal"/>
      <w:pStyle w:val="myReference"/>
      <w:lvlText w:val=""/>
      <w:lvlJc w:val="left"/>
    </w:lvl>
    <w:lvl w:ilvl="1" w:tplc="B3E61F28">
      <w:numFmt w:val="decimal"/>
      <w:lvlText w:val=""/>
      <w:lvlJc w:val="left"/>
    </w:lvl>
    <w:lvl w:ilvl="2" w:tplc="BC2EB790">
      <w:numFmt w:val="decimal"/>
      <w:lvlText w:val=""/>
      <w:lvlJc w:val="left"/>
    </w:lvl>
    <w:lvl w:ilvl="3" w:tplc="A8402236">
      <w:numFmt w:val="decimal"/>
      <w:lvlText w:val=""/>
      <w:lvlJc w:val="left"/>
    </w:lvl>
    <w:lvl w:ilvl="4" w:tplc="C9A0BC18">
      <w:numFmt w:val="decimal"/>
      <w:lvlText w:val=""/>
      <w:lvlJc w:val="left"/>
    </w:lvl>
    <w:lvl w:ilvl="5" w:tplc="9830E74C">
      <w:numFmt w:val="decimal"/>
      <w:lvlText w:val=""/>
      <w:lvlJc w:val="left"/>
    </w:lvl>
    <w:lvl w:ilvl="6" w:tplc="FDAA0256">
      <w:numFmt w:val="decimal"/>
      <w:lvlText w:val=""/>
      <w:lvlJc w:val="left"/>
    </w:lvl>
    <w:lvl w:ilvl="7" w:tplc="0D50F762">
      <w:numFmt w:val="decimal"/>
      <w:lvlText w:val=""/>
      <w:lvlJc w:val="left"/>
    </w:lvl>
    <w:lvl w:ilvl="8" w:tplc="11E00468">
      <w:numFmt w:val="decimal"/>
      <w:lvlText w:val=""/>
      <w:lvlJc w:val="left"/>
    </w:lvl>
  </w:abstractNum>
  <w:abstractNum w:abstractNumId="52" w15:restartNumberingAfterBreak="0">
    <w:nsid w:val="51865360"/>
    <w:multiLevelType w:val="multilevel"/>
    <w:tmpl w:val="A58A0B5E"/>
    <w:lvl w:ilvl="0">
      <w:start w:val="1"/>
      <w:numFmt w:val="decimal"/>
      <w:lvlText w:val="%1)"/>
      <w:lvlJc w:val="left"/>
      <w:pPr>
        <w:ind w:left="360" w:hanging="360"/>
      </w:pPr>
    </w:lvl>
    <w:lvl w:ilvl="1">
      <w:start w:val="1"/>
      <w:numFmt w:val="bullet"/>
      <w:lvlText w:val="•"/>
      <w:lvlJc w:val="left"/>
      <w:pPr>
        <w:ind w:left="840" w:hanging="420"/>
      </w:pPr>
      <w:rPr>
        <w:rFonts w:ascii="Arial" w:hAnsi="Arial" w:cs="Times New Roman"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1E16AE6"/>
    <w:multiLevelType w:val="hybridMultilevel"/>
    <w:tmpl w:val="87AAF698"/>
    <w:lvl w:ilvl="0" w:tplc="72E06706">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4" w15:restartNumberingAfterBreak="0">
    <w:nsid w:val="52D85C8E"/>
    <w:multiLevelType w:val="hybridMultilevel"/>
    <w:tmpl w:val="C42A0036"/>
    <w:lvl w:ilvl="0" w:tplc="345655FA">
      <w:start w:val="149"/>
      <w:numFmt w:val="bullet"/>
      <w:lvlText w:val="-"/>
      <w:lvlJc w:val="left"/>
      <w:pPr>
        <w:ind w:left="720" w:hanging="360"/>
      </w:pPr>
      <w:rPr>
        <w:rFonts w:ascii="Times" w:eastAsia="Times"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3B81312"/>
    <w:multiLevelType w:val="hybridMultilevel"/>
    <w:tmpl w:val="89146B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6" w15:restartNumberingAfterBreak="0">
    <w:nsid w:val="54FE634D"/>
    <w:multiLevelType w:val="hybridMultilevel"/>
    <w:tmpl w:val="75443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51008AE"/>
    <w:multiLevelType w:val="hybridMultilevel"/>
    <w:tmpl w:val="78B66F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8"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9"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0" w15:restartNumberingAfterBreak="0">
    <w:nsid w:val="5AC17244"/>
    <w:multiLevelType w:val="hybridMultilevel"/>
    <w:tmpl w:val="B0A40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BE773F3"/>
    <w:multiLevelType w:val="hybridMultilevel"/>
    <w:tmpl w:val="B9E2A796"/>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3512695A">
      <w:start w:val="78"/>
      <w:numFmt w:val="bullet"/>
      <w:lvlText w:val="›"/>
      <w:lvlJc w:val="left"/>
      <w:pPr>
        <w:ind w:left="1680" w:hanging="420"/>
      </w:pPr>
      <w:rPr>
        <w:rFonts w:ascii="Ericsson Capital TT" w:hAnsi="Ericsson Capital TT" w:hint="default"/>
      </w:rPr>
    </w:lvl>
    <w:lvl w:ilvl="4" w:tplc="4EEE7330">
      <w:start w:val="2"/>
      <w:numFmt w:val="bullet"/>
      <w:lvlText w:val="-"/>
      <w:lvlJc w:val="left"/>
      <w:pPr>
        <w:ind w:left="2040" w:hanging="360"/>
      </w:pPr>
      <w:rPr>
        <w:rFonts w:ascii="Times New Roman" w:eastAsia="SimSun"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23671D4"/>
    <w:multiLevelType w:val="multilevel"/>
    <w:tmpl w:val="126AE4F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3" w15:restartNumberingAfterBreak="0">
    <w:nsid w:val="6CEA2025"/>
    <w:multiLevelType w:val="multilevel"/>
    <w:tmpl w:val="CA6E5ED6"/>
    <w:lvl w:ilvl="0">
      <w:numFmt w:val="decimal"/>
      <w:pStyle w:val="103030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65" w15:restartNumberingAfterBreak="0">
    <w:nsid w:val="6F1D6A21"/>
    <w:multiLevelType w:val="singleLevel"/>
    <w:tmpl w:val="A100F9DC"/>
    <w:lvl w:ilvl="0">
      <w:numFmt w:val="decimal"/>
      <w:pStyle w:val="References"/>
      <w:lvlText w:val=""/>
      <w:lvlJc w:val="left"/>
    </w:lvl>
  </w:abstractNum>
  <w:abstractNum w:abstractNumId="66" w15:restartNumberingAfterBreak="0">
    <w:nsid w:val="6F611A85"/>
    <w:multiLevelType w:val="multilevel"/>
    <w:tmpl w:val="3FE0D7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SimSu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8" w15:restartNumberingAfterBreak="0">
    <w:nsid w:val="72C71936"/>
    <w:multiLevelType w:val="multilevel"/>
    <w:tmpl w:val="72C71936"/>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9" w15:restartNumberingAfterBreak="0">
    <w:nsid w:val="754A58BE"/>
    <w:multiLevelType w:val="multilevel"/>
    <w:tmpl w:val="6ABC38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8C44E78"/>
    <w:multiLevelType w:val="hybridMultilevel"/>
    <w:tmpl w:val="28F239EA"/>
    <w:lvl w:ilvl="0" w:tplc="04060001">
      <w:start w:val="1"/>
      <w:numFmt w:val="bullet"/>
      <w:lvlText w:val=""/>
      <w:lvlJc w:val="left"/>
      <w:pPr>
        <w:ind w:left="928" w:hanging="360"/>
      </w:pPr>
      <w:rPr>
        <w:rFonts w:ascii="Symbol" w:hAnsi="Symbol"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71" w15:restartNumberingAfterBreak="0">
    <w:nsid w:val="7BC330F5"/>
    <w:multiLevelType w:val="hybridMultilevel"/>
    <w:tmpl w:val="C2769C2A"/>
    <w:lvl w:ilvl="0" w:tplc="04090001">
      <w:numFmt w:val="decimal"/>
      <w:pStyle w:val="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2" w15:restartNumberingAfterBreak="0">
    <w:nsid w:val="7C63383E"/>
    <w:multiLevelType w:val="hybridMultilevel"/>
    <w:tmpl w:val="B18E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BC1D75"/>
    <w:multiLevelType w:val="multilevel"/>
    <w:tmpl w:val="755E27C6"/>
    <w:lvl w:ilvl="0">
      <w:numFmt w:val="decimal"/>
      <w:pStyle w:val="JK-text-simpledo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10286033">
    <w:abstractNumId w:val="51"/>
  </w:num>
  <w:num w:numId="2" w16cid:durableId="1941835738">
    <w:abstractNumId w:val="35"/>
  </w:num>
  <w:num w:numId="3" w16cid:durableId="1167863082">
    <w:abstractNumId w:val="71"/>
  </w:num>
  <w:num w:numId="4" w16cid:durableId="224951639">
    <w:abstractNumId w:val="30"/>
  </w:num>
  <w:num w:numId="5" w16cid:durableId="217206988">
    <w:abstractNumId w:val="12"/>
  </w:num>
  <w:num w:numId="6" w16cid:durableId="1934124017">
    <w:abstractNumId w:val="65"/>
  </w:num>
  <w:num w:numId="7" w16cid:durableId="1797020714">
    <w:abstractNumId w:val="58"/>
  </w:num>
  <w:num w:numId="8" w16cid:durableId="61804689">
    <w:abstractNumId w:val="63"/>
  </w:num>
  <w:num w:numId="9" w16cid:durableId="578291729">
    <w:abstractNumId w:val="33"/>
  </w:num>
  <w:num w:numId="10" w16cid:durableId="1959604473">
    <w:abstractNumId w:val="53"/>
  </w:num>
  <w:num w:numId="11" w16cid:durableId="694769431">
    <w:abstractNumId w:val="73"/>
  </w:num>
  <w:num w:numId="12" w16cid:durableId="354383656">
    <w:abstractNumId w:val="45"/>
  </w:num>
  <w:num w:numId="13" w16cid:durableId="1027293393">
    <w:abstractNumId w:val="41"/>
  </w:num>
  <w:num w:numId="14" w16cid:durableId="18624720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72748101">
    <w:abstractNumId w:val="4"/>
  </w:num>
  <w:num w:numId="16" w16cid:durableId="604263259">
    <w:abstractNumId w:val="48"/>
  </w:num>
  <w:num w:numId="17" w16cid:durableId="59913247">
    <w:abstractNumId w:val="26"/>
  </w:num>
  <w:num w:numId="18" w16cid:durableId="327825194">
    <w:abstractNumId w:val="18"/>
  </w:num>
  <w:num w:numId="19" w16cid:durableId="51245280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7380584">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2334057">
    <w:abstractNumId w:val="59"/>
  </w:num>
  <w:num w:numId="22" w16cid:durableId="102844358">
    <w:abstractNumId w:val="13"/>
  </w:num>
  <w:num w:numId="23" w16cid:durableId="1499691032">
    <w:abstractNumId w:val="57"/>
  </w:num>
  <w:num w:numId="24" w16cid:durableId="1689257632">
    <w:abstractNumId w:val="49"/>
  </w:num>
  <w:num w:numId="25" w16cid:durableId="89905047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91138806">
    <w:abstractNumId w:val="0"/>
  </w:num>
  <w:num w:numId="27" w16cid:durableId="559747929">
    <w:abstractNumId w:val="1"/>
  </w:num>
  <w:num w:numId="28" w16cid:durableId="6876930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2892299">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0811298">
    <w:abstractNumId w:val="29"/>
  </w:num>
  <w:num w:numId="31" w16cid:durableId="864946558">
    <w:abstractNumId w:val="29"/>
  </w:num>
  <w:num w:numId="32" w16cid:durableId="77451934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55598948">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4227707">
    <w:abstractNumId w:val="59"/>
  </w:num>
  <w:num w:numId="35" w16cid:durableId="2014188089">
    <w:abstractNumId w:val="13"/>
  </w:num>
  <w:num w:numId="36" w16cid:durableId="1060202720">
    <w:abstractNumId w:val="49"/>
  </w:num>
  <w:num w:numId="37" w16cid:durableId="86930948">
    <w:abstractNumId w:val="0"/>
  </w:num>
  <w:num w:numId="38" w16cid:durableId="1786583188">
    <w:abstractNumId w:val="1"/>
  </w:num>
  <w:num w:numId="39" w16cid:durableId="110284097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76979760">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34817221">
    <w:abstractNumId w:val="42"/>
  </w:num>
  <w:num w:numId="42" w16cid:durableId="889463365">
    <w:abstractNumId w:val="44"/>
  </w:num>
  <w:num w:numId="43" w16cid:durableId="39689803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99009717">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59624836">
    <w:abstractNumId w:val="70"/>
  </w:num>
  <w:num w:numId="46" w16cid:durableId="152432445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23839374">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7935000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79383470">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8728490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6682163">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6138287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77686961">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384027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66623577">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4195956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0190880">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9748584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17521027">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454549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42434523">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4200598">
    <w:abstractNumId w:val="55"/>
  </w:num>
  <w:num w:numId="63" w16cid:durableId="109513293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22977542">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0427987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86147189">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11921689">
    <w:abstractNumId w:val="39"/>
  </w:num>
  <w:num w:numId="68" w16cid:durableId="1858421589">
    <w:abstractNumId w:val="23"/>
  </w:num>
  <w:num w:numId="69" w16cid:durableId="206733938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482506456">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91838857">
    <w:abstractNumId w:val="47"/>
  </w:num>
  <w:num w:numId="72" w16cid:durableId="669256769">
    <w:abstractNumId w:val="27"/>
  </w:num>
  <w:num w:numId="73" w16cid:durableId="1970209995">
    <w:abstractNumId w:val="64"/>
  </w:num>
  <w:num w:numId="74" w16cid:durableId="1262224034">
    <w:abstractNumId w:val="10"/>
  </w:num>
  <w:num w:numId="75" w16cid:durableId="115293916">
    <w:abstractNumId w:val="25"/>
  </w:num>
  <w:num w:numId="76" w16cid:durableId="1379816127">
    <w:abstractNumId w:val="2"/>
  </w:num>
  <w:num w:numId="77" w16cid:durableId="1832795973">
    <w:abstractNumId w:val="59"/>
  </w:num>
  <w:num w:numId="78" w16cid:durableId="690449648">
    <w:abstractNumId w:val="39"/>
  </w:num>
  <w:num w:numId="79" w16cid:durableId="1549337179">
    <w:abstractNumId w:val="25"/>
  </w:num>
  <w:num w:numId="80" w16cid:durableId="1622226815">
    <w:abstractNumId w:val="2"/>
  </w:num>
  <w:num w:numId="81" w16cid:durableId="954484371">
    <w:abstractNumId w:val="3"/>
  </w:num>
  <w:num w:numId="82" w16cid:durableId="1250040343">
    <w:abstractNumId w:val="22"/>
  </w:num>
  <w:num w:numId="83" w16cid:durableId="727918351">
    <w:abstractNumId w:val="5"/>
  </w:num>
  <w:num w:numId="84" w16cid:durableId="366374358">
    <w:abstractNumId w:val="40"/>
  </w:num>
  <w:num w:numId="85" w16cid:durableId="178394034">
    <w:abstractNumId w:val="67"/>
  </w:num>
  <w:num w:numId="86" w16cid:durableId="614554484">
    <w:abstractNumId w:val="9"/>
  </w:num>
  <w:num w:numId="87" w16cid:durableId="283460961">
    <w:abstractNumId w:val="11"/>
  </w:num>
  <w:num w:numId="88" w16cid:durableId="51588247">
    <w:abstractNumId w:val="62"/>
  </w:num>
  <w:num w:numId="89" w16cid:durableId="1741707092">
    <w:abstractNumId w:val="16"/>
  </w:num>
  <w:num w:numId="90" w16cid:durableId="1797530790">
    <w:abstractNumId w:val="61"/>
  </w:num>
  <w:num w:numId="91" w16cid:durableId="651328130">
    <w:abstractNumId w:val="54"/>
  </w:num>
  <w:num w:numId="92" w16cid:durableId="498816561">
    <w:abstractNumId w:val="15"/>
    <w:lvlOverride w:ilvl="0">
      <w:startOverride w:val="3"/>
    </w:lvlOverride>
  </w:num>
  <w:num w:numId="93" w16cid:durableId="1984701669">
    <w:abstractNumId w:val="66"/>
  </w:num>
  <w:num w:numId="94" w16cid:durableId="2079788879">
    <w:abstractNumId w:val="38"/>
  </w:num>
  <w:num w:numId="95" w16cid:durableId="1728840765">
    <w:abstractNumId w:val="17"/>
  </w:num>
  <w:num w:numId="96" w16cid:durableId="1414740332">
    <w:abstractNumId w:val="21"/>
    <w:lvlOverride w:ilvl="0">
      <w:startOverride w:val="2"/>
    </w:lvlOverride>
  </w:num>
  <w:num w:numId="97" w16cid:durableId="957756971">
    <w:abstractNumId w:val="28"/>
  </w:num>
  <w:num w:numId="98" w16cid:durableId="1804999872">
    <w:abstractNumId w:val="24"/>
  </w:num>
  <w:num w:numId="99" w16cid:durableId="1317999047">
    <w:abstractNumId w:val="34"/>
  </w:num>
  <w:num w:numId="100" w16cid:durableId="1164127169">
    <w:abstractNumId w:val="69"/>
  </w:num>
  <w:num w:numId="101" w16cid:durableId="1375160990">
    <w:abstractNumId w:val="7"/>
  </w:num>
  <w:num w:numId="102" w16cid:durableId="1005786953">
    <w:abstractNumId w:val="14"/>
  </w:num>
  <w:num w:numId="103" w16cid:durableId="1736123514">
    <w:abstractNumId w:val="16"/>
    <w:lvlOverride w:ilvl="0"/>
    <w:lvlOverride w:ilvl="1"/>
    <w:lvlOverride w:ilvl="2"/>
    <w:lvlOverride w:ilvl="3">
      <w:startOverride w:val="1"/>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104" w16cid:durableId="1824547039">
    <w:abstractNumId w:val="50"/>
    <w:lvlOverride w:ilvl="0">
      <w:startOverride w:val="1"/>
    </w:lvlOverride>
  </w:num>
  <w:num w:numId="105" w16cid:durableId="1616911610">
    <w:abstractNumId w:val="50"/>
    <w:lvlOverride w:ilvl="0"/>
    <w:lvlOverride w:ilvl="1">
      <w:startOverride w:val="1"/>
    </w:lvlOverride>
  </w:num>
  <w:num w:numId="106" w16cid:durableId="83766140">
    <w:abstractNumId w:val="46"/>
  </w:num>
  <w:num w:numId="107" w16cid:durableId="140730570">
    <w:abstractNumId w:val="19"/>
  </w:num>
  <w:num w:numId="108" w16cid:durableId="1736854594">
    <w:abstractNumId w:val="37"/>
  </w:num>
  <w:num w:numId="109" w16cid:durableId="1572498264">
    <w:abstractNumId w:val="60"/>
  </w:num>
  <w:num w:numId="110" w16cid:durableId="354768562">
    <w:abstractNumId w:val="36"/>
  </w:num>
  <w:num w:numId="111" w16cid:durableId="788859644">
    <w:abstractNumId w:val="20"/>
  </w:num>
  <w:num w:numId="112" w16cid:durableId="1379167153">
    <w:abstractNumId w:val="32"/>
  </w:num>
  <w:num w:numId="113" w16cid:durableId="749042681">
    <w:abstractNumId w:val="56"/>
  </w:num>
  <w:num w:numId="114" w16cid:durableId="1309744904">
    <w:abstractNumId w:val="43"/>
  </w:num>
  <w:num w:numId="115" w16cid:durableId="1232619580">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097991611">
    <w:abstractNumId w:val="6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7" w16cid:durableId="234439845">
    <w:abstractNumId w:val="31"/>
  </w:num>
  <w:num w:numId="118" w16cid:durableId="1370495140">
    <w:abstractNumId w:val="8"/>
  </w:num>
  <w:num w:numId="119" w16cid:durableId="3483599">
    <w:abstractNumId w:val="72"/>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wMzK1tDQ0NrGwNLdQ0lEKTi0uzszPAykwMqwFAJbnbKAtAAAA"/>
  </w:docVars>
  <w:rsids>
    <w:rsidRoot w:val="00617FF4"/>
    <w:rsid w:val="00000622"/>
    <w:rsid w:val="0000063C"/>
    <w:rsid w:val="00000785"/>
    <w:rsid w:val="0000096F"/>
    <w:rsid w:val="00000C19"/>
    <w:rsid w:val="00001099"/>
    <w:rsid w:val="00001222"/>
    <w:rsid w:val="00001293"/>
    <w:rsid w:val="000014CC"/>
    <w:rsid w:val="00001585"/>
    <w:rsid w:val="00001638"/>
    <w:rsid w:val="00001B23"/>
    <w:rsid w:val="00001B45"/>
    <w:rsid w:val="00001CDA"/>
    <w:rsid w:val="00001F9C"/>
    <w:rsid w:val="0000268A"/>
    <w:rsid w:val="00002789"/>
    <w:rsid w:val="00002912"/>
    <w:rsid w:val="00002CFA"/>
    <w:rsid w:val="00002D80"/>
    <w:rsid w:val="0000371B"/>
    <w:rsid w:val="000038A8"/>
    <w:rsid w:val="000038AD"/>
    <w:rsid w:val="000038E6"/>
    <w:rsid w:val="00003AD6"/>
    <w:rsid w:val="00003B11"/>
    <w:rsid w:val="00003B4A"/>
    <w:rsid w:val="00003B9C"/>
    <w:rsid w:val="00003D12"/>
    <w:rsid w:val="00003E06"/>
    <w:rsid w:val="00003FCC"/>
    <w:rsid w:val="0000438F"/>
    <w:rsid w:val="00004773"/>
    <w:rsid w:val="000047FC"/>
    <w:rsid w:val="00004994"/>
    <w:rsid w:val="00004A10"/>
    <w:rsid w:val="00004C7A"/>
    <w:rsid w:val="00004D5A"/>
    <w:rsid w:val="00004D8B"/>
    <w:rsid w:val="00004E69"/>
    <w:rsid w:val="00004FD5"/>
    <w:rsid w:val="00005166"/>
    <w:rsid w:val="0000550A"/>
    <w:rsid w:val="00005AAD"/>
    <w:rsid w:val="00005CD3"/>
    <w:rsid w:val="00005F62"/>
    <w:rsid w:val="00005FB5"/>
    <w:rsid w:val="0000612E"/>
    <w:rsid w:val="0000614C"/>
    <w:rsid w:val="0000616B"/>
    <w:rsid w:val="0000643D"/>
    <w:rsid w:val="00006AA5"/>
    <w:rsid w:val="00006B8D"/>
    <w:rsid w:val="00006D3E"/>
    <w:rsid w:val="00006F26"/>
    <w:rsid w:val="00007260"/>
    <w:rsid w:val="00007523"/>
    <w:rsid w:val="00007829"/>
    <w:rsid w:val="00007968"/>
    <w:rsid w:val="00007ACB"/>
    <w:rsid w:val="00007C83"/>
    <w:rsid w:val="00007D6C"/>
    <w:rsid w:val="00008B5A"/>
    <w:rsid w:val="0001019E"/>
    <w:rsid w:val="000102FC"/>
    <w:rsid w:val="00010322"/>
    <w:rsid w:val="000103FF"/>
    <w:rsid w:val="00010520"/>
    <w:rsid w:val="00010CC5"/>
    <w:rsid w:val="00010DB6"/>
    <w:rsid w:val="00011083"/>
    <w:rsid w:val="000112A1"/>
    <w:rsid w:val="00011782"/>
    <w:rsid w:val="000117B9"/>
    <w:rsid w:val="000119C0"/>
    <w:rsid w:val="00012199"/>
    <w:rsid w:val="00012928"/>
    <w:rsid w:val="00012A2A"/>
    <w:rsid w:val="00012B5F"/>
    <w:rsid w:val="00012D5C"/>
    <w:rsid w:val="00012E0D"/>
    <w:rsid w:val="00012FAA"/>
    <w:rsid w:val="000130CE"/>
    <w:rsid w:val="00013278"/>
    <w:rsid w:val="0001327C"/>
    <w:rsid w:val="0001361E"/>
    <w:rsid w:val="00013690"/>
    <w:rsid w:val="00013955"/>
    <w:rsid w:val="00013CD4"/>
    <w:rsid w:val="00013DB8"/>
    <w:rsid w:val="00013DF0"/>
    <w:rsid w:val="00013ED7"/>
    <w:rsid w:val="0001410D"/>
    <w:rsid w:val="000142AB"/>
    <w:rsid w:val="00014523"/>
    <w:rsid w:val="00014576"/>
    <w:rsid w:val="00014655"/>
    <w:rsid w:val="00014871"/>
    <w:rsid w:val="00014C64"/>
    <w:rsid w:val="00014D55"/>
    <w:rsid w:val="00014ED3"/>
    <w:rsid w:val="000150C5"/>
    <w:rsid w:val="000150F2"/>
    <w:rsid w:val="00015A94"/>
    <w:rsid w:val="00015B0A"/>
    <w:rsid w:val="00015CA2"/>
    <w:rsid w:val="00015CD7"/>
    <w:rsid w:val="00015DA0"/>
    <w:rsid w:val="00015F3E"/>
    <w:rsid w:val="000161E1"/>
    <w:rsid w:val="00016452"/>
    <w:rsid w:val="00016504"/>
    <w:rsid w:val="00016537"/>
    <w:rsid w:val="00016BA0"/>
    <w:rsid w:val="00016C43"/>
    <w:rsid w:val="00016CED"/>
    <w:rsid w:val="00016D0B"/>
    <w:rsid w:val="00016F33"/>
    <w:rsid w:val="000170BF"/>
    <w:rsid w:val="00017253"/>
    <w:rsid w:val="000174CA"/>
    <w:rsid w:val="000178FD"/>
    <w:rsid w:val="00017CEA"/>
    <w:rsid w:val="00017FDA"/>
    <w:rsid w:val="000200B9"/>
    <w:rsid w:val="00020159"/>
    <w:rsid w:val="0002065E"/>
    <w:rsid w:val="00020A83"/>
    <w:rsid w:val="000210CF"/>
    <w:rsid w:val="000211F5"/>
    <w:rsid w:val="000213B8"/>
    <w:rsid w:val="00021405"/>
    <w:rsid w:val="00021423"/>
    <w:rsid w:val="00021475"/>
    <w:rsid w:val="00021580"/>
    <w:rsid w:val="000215D4"/>
    <w:rsid w:val="000216CE"/>
    <w:rsid w:val="00021CC7"/>
    <w:rsid w:val="00021DD8"/>
    <w:rsid w:val="000221C7"/>
    <w:rsid w:val="00022200"/>
    <w:rsid w:val="00022484"/>
    <w:rsid w:val="00022836"/>
    <w:rsid w:val="00022992"/>
    <w:rsid w:val="00022D75"/>
    <w:rsid w:val="00022E3E"/>
    <w:rsid w:val="00022F79"/>
    <w:rsid w:val="00023081"/>
    <w:rsid w:val="00023420"/>
    <w:rsid w:val="00023727"/>
    <w:rsid w:val="00023867"/>
    <w:rsid w:val="00023B35"/>
    <w:rsid w:val="00023C58"/>
    <w:rsid w:val="00023D5C"/>
    <w:rsid w:val="0002412F"/>
    <w:rsid w:val="0002420D"/>
    <w:rsid w:val="00024555"/>
    <w:rsid w:val="00024667"/>
    <w:rsid w:val="00024793"/>
    <w:rsid w:val="000248D8"/>
    <w:rsid w:val="00024CA4"/>
    <w:rsid w:val="00024DA3"/>
    <w:rsid w:val="0002501B"/>
    <w:rsid w:val="00025118"/>
    <w:rsid w:val="0002552F"/>
    <w:rsid w:val="00025616"/>
    <w:rsid w:val="000256F2"/>
    <w:rsid w:val="00025A42"/>
    <w:rsid w:val="00025EC2"/>
    <w:rsid w:val="00026875"/>
    <w:rsid w:val="000268D5"/>
    <w:rsid w:val="00026B35"/>
    <w:rsid w:val="00026BD3"/>
    <w:rsid w:val="000273E3"/>
    <w:rsid w:val="0002761B"/>
    <w:rsid w:val="00027877"/>
    <w:rsid w:val="00027A0C"/>
    <w:rsid w:val="00027A8C"/>
    <w:rsid w:val="00027F01"/>
    <w:rsid w:val="0003016B"/>
    <w:rsid w:val="000309EA"/>
    <w:rsid w:val="00030C72"/>
    <w:rsid w:val="00030D33"/>
    <w:rsid w:val="00030D7D"/>
    <w:rsid w:val="00030F6A"/>
    <w:rsid w:val="000315CB"/>
    <w:rsid w:val="000316DA"/>
    <w:rsid w:val="00031C17"/>
    <w:rsid w:val="00031E87"/>
    <w:rsid w:val="000321A3"/>
    <w:rsid w:val="00032672"/>
    <w:rsid w:val="00032E33"/>
    <w:rsid w:val="00032F70"/>
    <w:rsid w:val="00033305"/>
    <w:rsid w:val="000337B8"/>
    <w:rsid w:val="0003383D"/>
    <w:rsid w:val="000338BC"/>
    <w:rsid w:val="0003397D"/>
    <w:rsid w:val="0003398F"/>
    <w:rsid w:val="00033AFE"/>
    <w:rsid w:val="00033C4E"/>
    <w:rsid w:val="00033D7F"/>
    <w:rsid w:val="00034193"/>
    <w:rsid w:val="000346BB"/>
    <w:rsid w:val="00034BB3"/>
    <w:rsid w:val="00034D1A"/>
    <w:rsid w:val="00034FAE"/>
    <w:rsid w:val="000352D3"/>
    <w:rsid w:val="00035597"/>
    <w:rsid w:val="00035789"/>
    <w:rsid w:val="00035AB7"/>
    <w:rsid w:val="00035B9C"/>
    <w:rsid w:val="00035C55"/>
    <w:rsid w:val="00035DA0"/>
    <w:rsid w:val="00035F24"/>
    <w:rsid w:val="00036043"/>
    <w:rsid w:val="00036069"/>
    <w:rsid w:val="00036286"/>
    <w:rsid w:val="00036334"/>
    <w:rsid w:val="000363A7"/>
    <w:rsid w:val="00036712"/>
    <w:rsid w:val="0003673E"/>
    <w:rsid w:val="000367D8"/>
    <w:rsid w:val="0003691C"/>
    <w:rsid w:val="00036AE3"/>
    <w:rsid w:val="00036CB9"/>
    <w:rsid w:val="00036EFD"/>
    <w:rsid w:val="0003771B"/>
    <w:rsid w:val="000402C9"/>
    <w:rsid w:val="00040412"/>
    <w:rsid w:val="000404D2"/>
    <w:rsid w:val="00040681"/>
    <w:rsid w:val="00040739"/>
    <w:rsid w:val="00040924"/>
    <w:rsid w:val="0004092E"/>
    <w:rsid w:val="000409EA"/>
    <w:rsid w:val="00040A30"/>
    <w:rsid w:val="00040A90"/>
    <w:rsid w:val="00040C9B"/>
    <w:rsid w:val="00040D0E"/>
    <w:rsid w:val="00040D59"/>
    <w:rsid w:val="00040E22"/>
    <w:rsid w:val="00040FDE"/>
    <w:rsid w:val="00041047"/>
    <w:rsid w:val="00041216"/>
    <w:rsid w:val="000419BA"/>
    <w:rsid w:val="00041C43"/>
    <w:rsid w:val="00041CE6"/>
    <w:rsid w:val="0004225A"/>
    <w:rsid w:val="000423EA"/>
    <w:rsid w:val="0004248D"/>
    <w:rsid w:val="0004250C"/>
    <w:rsid w:val="00042BFE"/>
    <w:rsid w:val="00042D83"/>
    <w:rsid w:val="00043036"/>
    <w:rsid w:val="00043103"/>
    <w:rsid w:val="00043104"/>
    <w:rsid w:val="000431B4"/>
    <w:rsid w:val="000434F9"/>
    <w:rsid w:val="000439AD"/>
    <w:rsid w:val="000439DD"/>
    <w:rsid w:val="00043ED1"/>
    <w:rsid w:val="00044058"/>
    <w:rsid w:val="00044165"/>
    <w:rsid w:val="00044215"/>
    <w:rsid w:val="00044313"/>
    <w:rsid w:val="000444B6"/>
    <w:rsid w:val="000445B5"/>
    <w:rsid w:val="000446B1"/>
    <w:rsid w:val="00044894"/>
    <w:rsid w:val="00044EF2"/>
    <w:rsid w:val="00045048"/>
    <w:rsid w:val="00045150"/>
    <w:rsid w:val="000451F5"/>
    <w:rsid w:val="00045239"/>
    <w:rsid w:val="000452EA"/>
    <w:rsid w:val="0004535F"/>
    <w:rsid w:val="0004544D"/>
    <w:rsid w:val="000454EA"/>
    <w:rsid w:val="0004556D"/>
    <w:rsid w:val="0004586A"/>
    <w:rsid w:val="00045B2D"/>
    <w:rsid w:val="00045C44"/>
    <w:rsid w:val="00045CAF"/>
    <w:rsid w:val="00045DD8"/>
    <w:rsid w:val="0004635E"/>
    <w:rsid w:val="000464B7"/>
    <w:rsid w:val="00046627"/>
    <w:rsid w:val="00046705"/>
    <w:rsid w:val="00046828"/>
    <w:rsid w:val="00046833"/>
    <w:rsid w:val="000468D9"/>
    <w:rsid w:val="00046AC7"/>
    <w:rsid w:val="00046EDB"/>
    <w:rsid w:val="00047223"/>
    <w:rsid w:val="000473C5"/>
    <w:rsid w:val="0004756D"/>
    <w:rsid w:val="000478FE"/>
    <w:rsid w:val="0004792E"/>
    <w:rsid w:val="00047D53"/>
    <w:rsid w:val="00047D6E"/>
    <w:rsid w:val="00047ECA"/>
    <w:rsid w:val="00050031"/>
    <w:rsid w:val="00050307"/>
    <w:rsid w:val="00050532"/>
    <w:rsid w:val="000507ED"/>
    <w:rsid w:val="00050937"/>
    <w:rsid w:val="00050AEA"/>
    <w:rsid w:val="00050B03"/>
    <w:rsid w:val="00050D85"/>
    <w:rsid w:val="00050EB1"/>
    <w:rsid w:val="000511A7"/>
    <w:rsid w:val="00051487"/>
    <w:rsid w:val="000514EF"/>
    <w:rsid w:val="00051646"/>
    <w:rsid w:val="000517A4"/>
    <w:rsid w:val="00051AFB"/>
    <w:rsid w:val="00051AFE"/>
    <w:rsid w:val="00051CDD"/>
    <w:rsid w:val="00051D7C"/>
    <w:rsid w:val="00052188"/>
    <w:rsid w:val="000525D1"/>
    <w:rsid w:val="00052BC2"/>
    <w:rsid w:val="000534B2"/>
    <w:rsid w:val="0005364F"/>
    <w:rsid w:val="000537FD"/>
    <w:rsid w:val="00053871"/>
    <w:rsid w:val="000538AF"/>
    <w:rsid w:val="00053BB2"/>
    <w:rsid w:val="000545CE"/>
    <w:rsid w:val="00054660"/>
    <w:rsid w:val="00054A17"/>
    <w:rsid w:val="00055323"/>
    <w:rsid w:val="000554B0"/>
    <w:rsid w:val="00056399"/>
    <w:rsid w:val="0005654A"/>
    <w:rsid w:val="0005660C"/>
    <w:rsid w:val="0005692B"/>
    <w:rsid w:val="00056AA3"/>
    <w:rsid w:val="00057323"/>
    <w:rsid w:val="000573A1"/>
    <w:rsid w:val="000574E9"/>
    <w:rsid w:val="00057C29"/>
    <w:rsid w:val="00057E98"/>
    <w:rsid w:val="00057EFD"/>
    <w:rsid w:val="00057FF2"/>
    <w:rsid w:val="000600A6"/>
    <w:rsid w:val="00060290"/>
    <w:rsid w:val="0006029D"/>
    <w:rsid w:val="00060401"/>
    <w:rsid w:val="000606B9"/>
    <w:rsid w:val="00060BF1"/>
    <w:rsid w:val="00060C36"/>
    <w:rsid w:val="00060E0A"/>
    <w:rsid w:val="000615FC"/>
    <w:rsid w:val="0006168A"/>
    <w:rsid w:val="000618B1"/>
    <w:rsid w:val="00061B7D"/>
    <w:rsid w:val="00061C6A"/>
    <w:rsid w:val="00061C75"/>
    <w:rsid w:val="00061D3C"/>
    <w:rsid w:val="00062133"/>
    <w:rsid w:val="00062232"/>
    <w:rsid w:val="000622DA"/>
    <w:rsid w:val="00062440"/>
    <w:rsid w:val="00062576"/>
    <w:rsid w:val="000626A0"/>
    <w:rsid w:val="000628B4"/>
    <w:rsid w:val="00062A74"/>
    <w:rsid w:val="00062C0B"/>
    <w:rsid w:val="00062E33"/>
    <w:rsid w:val="00064217"/>
    <w:rsid w:val="00064281"/>
    <w:rsid w:val="000644A3"/>
    <w:rsid w:val="000647BB"/>
    <w:rsid w:val="0006480A"/>
    <w:rsid w:val="00064909"/>
    <w:rsid w:val="00065047"/>
    <w:rsid w:val="00065723"/>
    <w:rsid w:val="00065985"/>
    <w:rsid w:val="00065FC3"/>
    <w:rsid w:val="000662E1"/>
    <w:rsid w:val="00066305"/>
    <w:rsid w:val="00066435"/>
    <w:rsid w:val="0006645C"/>
    <w:rsid w:val="000666F0"/>
    <w:rsid w:val="0006685F"/>
    <w:rsid w:val="00066D99"/>
    <w:rsid w:val="00066E50"/>
    <w:rsid w:val="00066F3F"/>
    <w:rsid w:val="00066F76"/>
    <w:rsid w:val="00067070"/>
    <w:rsid w:val="0006788D"/>
    <w:rsid w:val="0006793B"/>
    <w:rsid w:val="000679E9"/>
    <w:rsid w:val="0007029D"/>
    <w:rsid w:val="00070353"/>
    <w:rsid w:val="0007050A"/>
    <w:rsid w:val="00070746"/>
    <w:rsid w:val="0007083F"/>
    <w:rsid w:val="0007094B"/>
    <w:rsid w:val="00070D0C"/>
    <w:rsid w:val="00070E0F"/>
    <w:rsid w:val="0007106B"/>
    <w:rsid w:val="000710D4"/>
    <w:rsid w:val="00071104"/>
    <w:rsid w:val="00071238"/>
    <w:rsid w:val="00071401"/>
    <w:rsid w:val="00071BE8"/>
    <w:rsid w:val="00071D8F"/>
    <w:rsid w:val="00072191"/>
    <w:rsid w:val="000721FD"/>
    <w:rsid w:val="0007237C"/>
    <w:rsid w:val="0007265D"/>
    <w:rsid w:val="00072830"/>
    <w:rsid w:val="000728B1"/>
    <w:rsid w:val="00072AF0"/>
    <w:rsid w:val="00072E66"/>
    <w:rsid w:val="00072EB0"/>
    <w:rsid w:val="00073367"/>
    <w:rsid w:val="00073987"/>
    <w:rsid w:val="00073B00"/>
    <w:rsid w:val="00073E66"/>
    <w:rsid w:val="00073F33"/>
    <w:rsid w:val="0007401F"/>
    <w:rsid w:val="00074445"/>
    <w:rsid w:val="0007464F"/>
    <w:rsid w:val="00074694"/>
    <w:rsid w:val="0007477F"/>
    <w:rsid w:val="000747D3"/>
    <w:rsid w:val="000748B1"/>
    <w:rsid w:val="00074945"/>
    <w:rsid w:val="0007511F"/>
    <w:rsid w:val="00075686"/>
    <w:rsid w:val="00075853"/>
    <w:rsid w:val="00075887"/>
    <w:rsid w:val="000758C6"/>
    <w:rsid w:val="0007596F"/>
    <w:rsid w:val="00075992"/>
    <w:rsid w:val="00075AF8"/>
    <w:rsid w:val="00075DB8"/>
    <w:rsid w:val="0007632E"/>
    <w:rsid w:val="00076491"/>
    <w:rsid w:val="000775B4"/>
    <w:rsid w:val="00077AC8"/>
    <w:rsid w:val="00077BF9"/>
    <w:rsid w:val="00077CBD"/>
    <w:rsid w:val="00077FD7"/>
    <w:rsid w:val="000800CB"/>
    <w:rsid w:val="000807AF"/>
    <w:rsid w:val="00080861"/>
    <w:rsid w:val="00080CDC"/>
    <w:rsid w:val="00080D0B"/>
    <w:rsid w:val="00080EA6"/>
    <w:rsid w:val="00080FED"/>
    <w:rsid w:val="00081071"/>
    <w:rsid w:val="0008135D"/>
    <w:rsid w:val="00081A68"/>
    <w:rsid w:val="00081B03"/>
    <w:rsid w:val="00081BBD"/>
    <w:rsid w:val="00081C38"/>
    <w:rsid w:val="00081DB1"/>
    <w:rsid w:val="00081E96"/>
    <w:rsid w:val="0008224F"/>
    <w:rsid w:val="00082278"/>
    <w:rsid w:val="00082511"/>
    <w:rsid w:val="00082606"/>
    <w:rsid w:val="000826C5"/>
    <w:rsid w:val="00082778"/>
    <w:rsid w:val="000828F4"/>
    <w:rsid w:val="00082919"/>
    <w:rsid w:val="00082BB6"/>
    <w:rsid w:val="00082D63"/>
    <w:rsid w:val="00083322"/>
    <w:rsid w:val="000835E1"/>
    <w:rsid w:val="0008366D"/>
    <w:rsid w:val="0008391B"/>
    <w:rsid w:val="00083A11"/>
    <w:rsid w:val="00083C41"/>
    <w:rsid w:val="00083C68"/>
    <w:rsid w:val="00083C86"/>
    <w:rsid w:val="00084115"/>
    <w:rsid w:val="000841D9"/>
    <w:rsid w:val="000845F1"/>
    <w:rsid w:val="000847ED"/>
    <w:rsid w:val="000849E9"/>
    <w:rsid w:val="00084BC2"/>
    <w:rsid w:val="00084CCE"/>
    <w:rsid w:val="0008518B"/>
    <w:rsid w:val="000855C7"/>
    <w:rsid w:val="000857E2"/>
    <w:rsid w:val="000858F1"/>
    <w:rsid w:val="00085C5E"/>
    <w:rsid w:val="00085DCC"/>
    <w:rsid w:val="00085EFB"/>
    <w:rsid w:val="00086309"/>
    <w:rsid w:val="00086451"/>
    <w:rsid w:val="000864E3"/>
    <w:rsid w:val="000864E9"/>
    <w:rsid w:val="00086616"/>
    <w:rsid w:val="00086854"/>
    <w:rsid w:val="00086AAF"/>
    <w:rsid w:val="0008772F"/>
    <w:rsid w:val="00087C8A"/>
    <w:rsid w:val="000901B3"/>
    <w:rsid w:val="000905D5"/>
    <w:rsid w:val="0009062B"/>
    <w:rsid w:val="0009065D"/>
    <w:rsid w:val="00090755"/>
    <w:rsid w:val="0009083B"/>
    <w:rsid w:val="000908CF"/>
    <w:rsid w:val="0009093C"/>
    <w:rsid w:val="00090992"/>
    <w:rsid w:val="00090C79"/>
    <w:rsid w:val="00090C83"/>
    <w:rsid w:val="00091001"/>
    <w:rsid w:val="00091047"/>
    <w:rsid w:val="00091109"/>
    <w:rsid w:val="0009129D"/>
    <w:rsid w:val="00091A2F"/>
    <w:rsid w:val="00091EF7"/>
    <w:rsid w:val="0009254A"/>
    <w:rsid w:val="00092680"/>
    <w:rsid w:val="000926F2"/>
    <w:rsid w:val="000927DE"/>
    <w:rsid w:val="000928CD"/>
    <w:rsid w:val="000928EF"/>
    <w:rsid w:val="00093051"/>
    <w:rsid w:val="00093376"/>
    <w:rsid w:val="000933C8"/>
    <w:rsid w:val="000933F0"/>
    <w:rsid w:val="000935C6"/>
    <w:rsid w:val="000936A2"/>
    <w:rsid w:val="000936C5"/>
    <w:rsid w:val="00093A45"/>
    <w:rsid w:val="00093BAE"/>
    <w:rsid w:val="00093E30"/>
    <w:rsid w:val="0009400D"/>
    <w:rsid w:val="000947E8"/>
    <w:rsid w:val="0009501F"/>
    <w:rsid w:val="000950D7"/>
    <w:rsid w:val="000959C7"/>
    <w:rsid w:val="00095A4A"/>
    <w:rsid w:val="00095A55"/>
    <w:rsid w:val="00095C87"/>
    <w:rsid w:val="00095D34"/>
    <w:rsid w:val="00095FA1"/>
    <w:rsid w:val="00096036"/>
    <w:rsid w:val="00096086"/>
    <w:rsid w:val="00096219"/>
    <w:rsid w:val="00096404"/>
    <w:rsid w:val="0009681B"/>
    <w:rsid w:val="000968B1"/>
    <w:rsid w:val="00096BF8"/>
    <w:rsid w:val="00096C7B"/>
    <w:rsid w:val="00096F7C"/>
    <w:rsid w:val="00097989"/>
    <w:rsid w:val="00097A5C"/>
    <w:rsid w:val="00097C39"/>
    <w:rsid w:val="00097FF7"/>
    <w:rsid w:val="000A0E56"/>
    <w:rsid w:val="000A0F53"/>
    <w:rsid w:val="000A122C"/>
    <w:rsid w:val="000A1521"/>
    <w:rsid w:val="000A19AC"/>
    <w:rsid w:val="000A2242"/>
    <w:rsid w:val="000A2244"/>
    <w:rsid w:val="000A2AE6"/>
    <w:rsid w:val="000A2C55"/>
    <w:rsid w:val="000A30A7"/>
    <w:rsid w:val="000A3553"/>
    <w:rsid w:val="000A35B9"/>
    <w:rsid w:val="000A39C0"/>
    <w:rsid w:val="000A3E31"/>
    <w:rsid w:val="000A4256"/>
    <w:rsid w:val="000A4705"/>
    <w:rsid w:val="000A4763"/>
    <w:rsid w:val="000A47B2"/>
    <w:rsid w:val="000A51FF"/>
    <w:rsid w:val="000A5529"/>
    <w:rsid w:val="000A591E"/>
    <w:rsid w:val="000A5ADC"/>
    <w:rsid w:val="000A6136"/>
    <w:rsid w:val="000A6456"/>
    <w:rsid w:val="000A6DF5"/>
    <w:rsid w:val="000A6F38"/>
    <w:rsid w:val="000A70C5"/>
    <w:rsid w:val="000A732B"/>
    <w:rsid w:val="000A73BD"/>
    <w:rsid w:val="000A7786"/>
    <w:rsid w:val="000A7A57"/>
    <w:rsid w:val="000A7A9C"/>
    <w:rsid w:val="000A7BDB"/>
    <w:rsid w:val="000A7C4A"/>
    <w:rsid w:val="000A7CAB"/>
    <w:rsid w:val="000B0452"/>
    <w:rsid w:val="000B0749"/>
    <w:rsid w:val="000B094B"/>
    <w:rsid w:val="000B0FCC"/>
    <w:rsid w:val="000B1157"/>
    <w:rsid w:val="000B11F5"/>
    <w:rsid w:val="000B14FE"/>
    <w:rsid w:val="000B157A"/>
    <w:rsid w:val="000B17F2"/>
    <w:rsid w:val="000B1C1E"/>
    <w:rsid w:val="000B1CA7"/>
    <w:rsid w:val="000B253A"/>
    <w:rsid w:val="000B2905"/>
    <w:rsid w:val="000B2928"/>
    <w:rsid w:val="000B2A96"/>
    <w:rsid w:val="000B2B45"/>
    <w:rsid w:val="000B2FC0"/>
    <w:rsid w:val="000B3024"/>
    <w:rsid w:val="000B326F"/>
    <w:rsid w:val="000B3507"/>
    <w:rsid w:val="000B391E"/>
    <w:rsid w:val="000B3941"/>
    <w:rsid w:val="000B3CFB"/>
    <w:rsid w:val="000B4103"/>
    <w:rsid w:val="000B428F"/>
    <w:rsid w:val="000B42BE"/>
    <w:rsid w:val="000B4353"/>
    <w:rsid w:val="000B443E"/>
    <w:rsid w:val="000B46BA"/>
    <w:rsid w:val="000B4BB5"/>
    <w:rsid w:val="000B4DDE"/>
    <w:rsid w:val="000B4E46"/>
    <w:rsid w:val="000B503A"/>
    <w:rsid w:val="000B5167"/>
    <w:rsid w:val="000B5317"/>
    <w:rsid w:val="000B5770"/>
    <w:rsid w:val="000B57BB"/>
    <w:rsid w:val="000B5BE0"/>
    <w:rsid w:val="000B5D1E"/>
    <w:rsid w:val="000B6124"/>
    <w:rsid w:val="000B62A7"/>
    <w:rsid w:val="000B65E6"/>
    <w:rsid w:val="000B6727"/>
    <w:rsid w:val="000B6756"/>
    <w:rsid w:val="000B6888"/>
    <w:rsid w:val="000B68EB"/>
    <w:rsid w:val="000B6A05"/>
    <w:rsid w:val="000B6C45"/>
    <w:rsid w:val="000B6ECD"/>
    <w:rsid w:val="000B71F3"/>
    <w:rsid w:val="000B7243"/>
    <w:rsid w:val="000B730A"/>
    <w:rsid w:val="000B7539"/>
    <w:rsid w:val="000C043F"/>
    <w:rsid w:val="000C0A51"/>
    <w:rsid w:val="000C0B11"/>
    <w:rsid w:val="000C0B44"/>
    <w:rsid w:val="000C0E2F"/>
    <w:rsid w:val="000C11DD"/>
    <w:rsid w:val="000C15B2"/>
    <w:rsid w:val="000C1AA6"/>
    <w:rsid w:val="000C1D58"/>
    <w:rsid w:val="000C22F2"/>
    <w:rsid w:val="000C25B7"/>
    <w:rsid w:val="000C25B8"/>
    <w:rsid w:val="000C2B0C"/>
    <w:rsid w:val="000C2D5F"/>
    <w:rsid w:val="000C2EA1"/>
    <w:rsid w:val="000C2F5E"/>
    <w:rsid w:val="000C2FD6"/>
    <w:rsid w:val="000C3224"/>
    <w:rsid w:val="000C338B"/>
    <w:rsid w:val="000C382B"/>
    <w:rsid w:val="000C3917"/>
    <w:rsid w:val="000C3969"/>
    <w:rsid w:val="000C3984"/>
    <w:rsid w:val="000C3A10"/>
    <w:rsid w:val="000C3C80"/>
    <w:rsid w:val="000C3E78"/>
    <w:rsid w:val="000C3F0A"/>
    <w:rsid w:val="000C418D"/>
    <w:rsid w:val="000C43E8"/>
    <w:rsid w:val="000C4AA8"/>
    <w:rsid w:val="000C4AAF"/>
    <w:rsid w:val="000C4AFA"/>
    <w:rsid w:val="000C4BE5"/>
    <w:rsid w:val="000C4E8C"/>
    <w:rsid w:val="000C50AC"/>
    <w:rsid w:val="000C5143"/>
    <w:rsid w:val="000C52B1"/>
    <w:rsid w:val="000C531D"/>
    <w:rsid w:val="000C53EC"/>
    <w:rsid w:val="000C5581"/>
    <w:rsid w:val="000C584D"/>
    <w:rsid w:val="000C5E3A"/>
    <w:rsid w:val="000C630C"/>
    <w:rsid w:val="000C67E6"/>
    <w:rsid w:val="000C69B8"/>
    <w:rsid w:val="000C6B4C"/>
    <w:rsid w:val="000C6B75"/>
    <w:rsid w:val="000C6D60"/>
    <w:rsid w:val="000C6E9A"/>
    <w:rsid w:val="000C6EB7"/>
    <w:rsid w:val="000C6F19"/>
    <w:rsid w:val="000C6F7D"/>
    <w:rsid w:val="000C714B"/>
    <w:rsid w:val="000C72F1"/>
    <w:rsid w:val="000C73B6"/>
    <w:rsid w:val="000C75AF"/>
    <w:rsid w:val="000C799A"/>
    <w:rsid w:val="000C7D44"/>
    <w:rsid w:val="000D002B"/>
    <w:rsid w:val="000D0090"/>
    <w:rsid w:val="000D09DE"/>
    <w:rsid w:val="000D13F7"/>
    <w:rsid w:val="000D169F"/>
    <w:rsid w:val="000D17CC"/>
    <w:rsid w:val="000D1932"/>
    <w:rsid w:val="000D2060"/>
    <w:rsid w:val="000D241D"/>
    <w:rsid w:val="000D2475"/>
    <w:rsid w:val="000D2901"/>
    <w:rsid w:val="000D2DA1"/>
    <w:rsid w:val="000D314E"/>
    <w:rsid w:val="000D360C"/>
    <w:rsid w:val="000D3677"/>
    <w:rsid w:val="000D3785"/>
    <w:rsid w:val="000D3C79"/>
    <w:rsid w:val="000D3F6B"/>
    <w:rsid w:val="000D45CF"/>
    <w:rsid w:val="000D45EB"/>
    <w:rsid w:val="000D4C2B"/>
    <w:rsid w:val="000D50B4"/>
    <w:rsid w:val="000D5158"/>
    <w:rsid w:val="000D5177"/>
    <w:rsid w:val="000D53F0"/>
    <w:rsid w:val="000D55A2"/>
    <w:rsid w:val="000D5829"/>
    <w:rsid w:val="000D591C"/>
    <w:rsid w:val="000D5E88"/>
    <w:rsid w:val="000D5EE1"/>
    <w:rsid w:val="000D5FBB"/>
    <w:rsid w:val="000D5FDF"/>
    <w:rsid w:val="000D6088"/>
    <w:rsid w:val="000D6235"/>
    <w:rsid w:val="000D62C9"/>
    <w:rsid w:val="000D62F5"/>
    <w:rsid w:val="000D63BF"/>
    <w:rsid w:val="000D6448"/>
    <w:rsid w:val="000D661E"/>
    <w:rsid w:val="000D6837"/>
    <w:rsid w:val="000D6E3F"/>
    <w:rsid w:val="000D6E5D"/>
    <w:rsid w:val="000D6F74"/>
    <w:rsid w:val="000D761F"/>
    <w:rsid w:val="000D79D0"/>
    <w:rsid w:val="000D7B45"/>
    <w:rsid w:val="000D7F45"/>
    <w:rsid w:val="000E0155"/>
    <w:rsid w:val="000E0635"/>
    <w:rsid w:val="000E0739"/>
    <w:rsid w:val="000E07EF"/>
    <w:rsid w:val="000E081B"/>
    <w:rsid w:val="000E0832"/>
    <w:rsid w:val="000E08D3"/>
    <w:rsid w:val="000E0A47"/>
    <w:rsid w:val="000E0B9B"/>
    <w:rsid w:val="000E0CCE"/>
    <w:rsid w:val="000E0E21"/>
    <w:rsid w:val="000E0E84"/>
    <w:rsid w:val="000E12FD"/>
    <w:rsid w:val="000E136C"/>
    <w:rsid w:val="000E1387"/>
    <w:rsid w:val="000E15E4"/>
    <w:rsid w:val="000E193F"/>
    <w:rsid w:val="000E1DC7"/>
    <w:rsid w:val="000E1E1C"/>
    <w:rsid w:val="000E1EAF"/>
    <w:rsid w:val="000E224A"/>
    <w:rsid w:val="000E242E"/>
    <w:rsid w:val="000E2BF3"/>
    <w:rsid w:val="000E32C4"/>
    <w:rsid w:val="000E33A7"/>
    <w:rsid w:val="000E3642"/>
    <w:rsid w:val="000E3718"/>
    <w:rsid w:val="000E374A"/>
    <w:rsid w:val="000E37FF"/>
    <w:rsid w:val="000E3916"/>
    <w:rsid w:val="000E3D54"/>
    <w:rsid w:val="000E3ED0"/>
    <w:rsid w:val="000E3F6B"/>
    <w:rsid w:val="000E4053"/>
    <w:rsid w:val="000E4110"/>
    <w:rsid w:val="000E421E"/>
    <w:rsid w:val="000E4DA7"/>
    <w:rsid w:val="000E4EF1"/>
    <w:rsid w:val="000E507D"/>
    <w:rsid w:val="000E52DD"/>
    <w:rsid w:val="000E57C9"/>
    <w:rsid w:val="000E599B"/>
    <w:rsid w:val="000E6073"/>
    <w:rsid w:val="000E6282"/>
    <w:rsid w:val="000E669E"/>
    <w:rsid w:val="000E66BC"/>
    <w:rsid w:val="000E6CF1"/>
    <w:rsid w:val="000E6CFA"/>
    <w:rsid w:val="000E6D83"/>
    <w:rsid w:val="000E6EC2"/>
    <w:rsid w:val="000E7443"/>
    <w:rsid w:val="000E74E0"/>
    <w:rsid w:val="000E7556"/>
    <w:rsid w:val="000E7615"/>
    <w:rsid w:val="000E7775"/>
    <w:rsid w:val="000E7883"/>
    <w:rsid w:val="000E78CA"/>
    <w:rsid w:val="000E7A4A"/>
    <w:rsid w:val="000E7FC8"/>
    <w:rsid w:val="000E8564"/>
    <w:rsid w:val="000F00D1"/>
    <w:rsid w:val="000F0202"/>
    <w:rsid w:val="000F0282"/>
    <w:rsid w:val="000F06D5"/>
    <w:rsid w:val="000F0707"/>
    <w:rsid w:val="000F0B50"/>
    <w:rsid w:val="000F0D80"/>
    <w:rsid w:val="000F0F32"/>
    <w:rsid w:val="000F11AD"/>
    <w:rsid w:val="000F144E"/>
    <w:rsid w:val="000F1766"/>
    <w:rsid w:val="000F20F2"/>
    <w:rsid w:val="000F2345"/>
    <w:rsid w:val="000F238A"/>
    <w:rsid w:val="000F2718"/>
    <w:rsid w:val="000F2E58"/>
    <w:rsid w:val="000F3249"/>
    <w:rsid w:val="000F373F"/>
    <w:rsid w:val="000F3F3D"/>
    <w:rsid w:val="000F44D6"/>
    <w:rsid w:val="000F4658"/>
    <w:rsid w:val="000F483B"/>
    <w:rsid w:val="000F52CF"/>
    <w:rsid w:val="000F5382"/>
    <w:rsid w:val="000F5636"/>
    <w:rsid w:val="000F5653"/>
    <w:rsid w:val="000F58D7"/>
    <w:rsid w:val="000F5BF9"/>
    <w:rsid w:val="000F5E4A"/>
    <w:rsid w:val="000F63E2"/>
    <w:rsid w:val="000F64A5"/>
    <w:rsid w:val="000F6506"/>
    <w:rsid w:val="000F6531"/>
    <w:rsid w:val="000F6893"/>
    <w:rsid w:val="000F6BA5"/>
    <w:rsid w:val="000F700C"/>
    <w:rsid w:val="000F7096"/>
    <w:rsid w:val="000F70F2"/>
    <w:rsid w:val="000F7242"/>
    <w:rsid w:val="000F7678"/>
    <w:rsid w:val="000F7A04"/>
    <w:rsid w:val="000F7AF1"/>
    <w:rsid w:val="000F7D5D"/>
    <w:rsid w:val="000F7DA9"/>
    <w:rsid w:val="000F7DF8"/>
    <w:rsid w:val="00100250"/>
    <w:rsid w:val="0010039E"/>
    <w:rsid w:val="00100473"/>
    <w:rsid w:val="0010047A"/>
    <w:rsid w:val="0010157C"/>
    <w:rsid w:val="00101977"/>
    <w:rsid w:val="00101CB5"/>
    <w:rsid w:val="00102112"/>
    <w:rsid w:val="00102205"/>
    <w:rsid w:val="0010238D"/>
    <w:rsid w:val="0010253A"/>
    <w:rsid w:val="001025B3"/>
    <w:rsid w:val="00102B6E"/>
    <w:rsid w:val="00102D0B"/>
    <w:rsid w:val="00103143"/>
    <w:rsid w:val="00103781"/>
    <w:rsid w:val="001037CB"/>
    <w:rsid w:val="00103BB7"/>
    <w:rsid w:val="00103D25"/>
    <w:rsid w:val="001041EC"/>
    <w:rsid w:val="00104202"/>
    <w:rsid w:val="001042A6"/>
    <w:rsid w:val="001044BC"/>
    <w:rsid w:val="0010462F"/>
    <w:rsid w:val="0010468C"/>
    <w:rsid w:val="001048F9"/>
    <w:rsid w:val="00104DF9"/>
    <w:rsid w:val="00104F64"/>
    <w:rsid w:val="00105151"/>
    <w:rsid w:val="00105183"/>
    <w:rsid w:val="00105617"/>
    <w:rsid w:val="0010567D"/>
    <w:rsid w:val="00105962"/>
    <w:rsid w:val="001059C3"/>
    <w:rsid w:val="00105EFE"/>
    <w:rsid w:val="00105F18"/>
    <w:rsid w:val="00105FB4"/>
    <w:rsid w:val="001063B7"/>
    <w:rsid w:val="001064EE"/>
    <w:rsid w:val="001065D9"/>
    <w:rsid w:val="0010668A"/>
    <w:rsid w:val="00106776"/>
    <w:rsid w:val="00106A3E"/>
    <w:rsid w:val="00106AD0"/>
    <w:rsid w:val="00106FC8"/>
    <w:rsid w:val="00107192"/>
    <w:rsid w:val="001071AD"/>
    <w:rsid w:val="00107381"/>
    <w:rsid w:val="001073D1"/>
    <w:rsid w:val="001077F4"/>
    <w:rsid w:val="001079B3"/>
    <w:rsid w:val="00107C28"/>
    <w:rsid w:val="00107C73"/>
    <w:rsid w:val="00107F19"/>
    <w:rsid w:val="00110001"/>
    <w:rsid w:val="0011042F"/>
    <w:rsid w:val="00110531"/>
    <w:rsid w:val="001106DB"/>
    <w:rsid w:val="001107A1"/>
    <w:rsid w:val="00110A60"/>
    <w:rsid w:val="00110AE2"/>
    <w:rsid w:val="00110BA4"/>
    <w:rsid w:val="00110D36"/>
    <w:rsid w:val="00110DE8"/>
    <w:rsid w:val="00110FA6"/>
    <w:rsid w:val="0011108D"/>
    <w:rsid w:val="0011117D"/>
    <w:rsid w:val="00111566"/>
    <w:rsid w:val="00111769"/>
    <w:rsid w:val="0011199E"/>
    <w:rsid w:val="001119F3"/>
    <w:rsid w:val="00111CC2"/>
    <w:rsid w:val="00111DCC"/>
    <w:rsid w:val="00112063"/>
    <w:rsid w:val="00112071"/>
    <w:rsid w:val="001122A3"/>
    <w:rsid w:val="00112492"/>
    <w:rsid w:val="001128D9"/>
    <w:rsid w:val="001129C6"/>
    <w:rsid w:val="0011310F"/>
    <w:rsid w:val="00113950"/>
    <w:rsid w:val="00113E1E"/>
    <w:rsid w:val="00113ECF"/>
    <w:rsid w:val="00113F1C"/>
    <w:rsid w:val="00114497"/>
    <w:rsid w:val="0011487D"/>
    <w:rsid w:val="00114952"/>
    <w:rsid w:val="00114EAD"/>
    <w:rsid w:val="00114F79"/>
    <w:rsid w:val="001154D2"/>
    <w:rsid w:val="001155DF"/>
    <w:rsid w:val="00115671"/>
    <w:rsid w:val="001156DF"/>
    <w:rsid w:val="00116043"/>
    <w:rsid w:val="00116348"/>
    <w:rsid w:val="0011642C"/>
    <w:rsid w:val="001165F3"/>
    <w:rsid w:val="0011668A"/>
    <w:rsid w:val="00116698"/>
    <w:rsid w:val="00116792"/>
    <w:rsid w:val="00116905"/>
    <w:rsid w:val="00116941"/>
    <w:rsid w:val="00116A3A"/>
    <w:rsid w:val="00116D92"/>
    <w:rsid w:val="0011701C"/>
    <w:rsid w:val="00117153"/>
    <w:rsid w:val="0011716F"/>
    <w:rsid w:val="0011727A"/>
    <w:rsid w:val="001172F5"/>
    <w:rsid w:val="00117522"/>
    <w:rsid w:val="001178A3"/>
    <w:rsid w:val="00117A2D"/>
    <w:rsid w:val="00117A9F"/>
    <w:rsid w:val="00117BC0"/>
    <w:rsid w:val="00117C3D"/>
    <w:rsid w:val="00117C6C"/>
    <w:rsid w:val="00117FB3"/>
    <w:rsid w:val="001200BA"/>
    <w:rsid w:val="00120E3E"/>
    <w:rsid w:val="00120F5F"/>
    <w:rsid w:val="00120FBA"/>
    <w:rsid w:val="00121012"/>
    <w:rsid w:val="0012121B"/>
    <w:rsid w:val="00121454"/>
    <w:rsid w:val="00121C06"/>
    <w:rsid w:val="00121E55"/>
    <w:rsid w:val="00122120"/>
    <w:rsid w:val="00122235"/>
    <w:rsid w:val="00122919"/>
    <w:rsid w:val="00122A62"/>
    <w:rsid w:val="00122E70"/>
    <w:rsid w:val="00123020"/>
    <w:rsid w:val="001230B9"/>
    <w:rsid w:val="001234E7"/>
    <w:rsid w:val="001238B2"/>
    <w:rsid w:val="00123AC6"/>
    <w:rsid w:val="00123DA1"/>
    <w:rsid w:val="00123DFD"/>
    <w:rsid w:val="00123E1F"/>
    <w:rsid w:val="00123F70"/>
    <w:rsid w:val="00124191"/>
    <w:rsid w:val="00124427"/>
    <w:rsid w:val="00124866"/>
    <w:rsid w:val="0012490F"/>
    <w:rsid w:val="00124A42"/>
    <w:rsid w:val="00124C06"/>
    <w:rsid w:val="00124C26"/>
    <w:rsid w:val="00124E77"/>
    <w:rsid w:val="001252B0"/>
    <w:rsid w:val="001252B8"/>
    <w:rsid w:val="00125CE9"/>
    <w:rsid w:val="00125FFB"/>
    <w:rsid w:val="0012677C"/>
    <w:rsid w:val="001268ED"/>
    <w:rsid w:val="001269D7"/>
    <w:rsid w:val="00126AD8"/>
    <w:rsid w:val="00126B33"/>
    <w:rsid w:val="001273F2"/>
    <w:rsid w:val="00127404"/>
    <w:rsid w:val="00127408"/>
    <w:rsid w:val="0012751C"/>
    <w:rsid w:val="00127B62"/>
    <w:rsid w:val="00127F25"/>
    <w:rsid w:val="00127F55"/>
    <w:rsid w:val="00130128"/>
    <w:rsid w:val="001301C6"/>
    <w:rsid w:val="0013027E"/>
    <w:rsid w:val="001302BA"/>
    <w:rsid w:val="001303D0"/>
    <w:rsid w:val="0013041E"/>
    <w:rsid w:val="00130E31"/>
    <w:rsid w:val="001310CD"/>
    <w:rsid w:val="001310CF"/>
    <w:rsid w:val="0013114E"/>
    <w:rsid w:val="001311C2"/>
    <w:rsid w:val="001312D4"/>
    <w:rsid w:val="001314DD"/>
    <w:rsid w:val="00131BD2"/>
    <w:rsid w:val="00131DBA"/>
    <w:rsid w:val="00131E9A"/>
    <w:rsid w:val="001327B9"/>
    <w:rsid w:val="0013282A"/>
    <w:rsid w:val="00132AC2"/>
    <w:rsid w:val="00132B52"/>
    <w:rsid w:val="00133096"/>
    <w:rsid w:val="001330FD"/>
    <w:rsid w:val="001331A6"/>
    <w:rsid w:val="00133A60"/>
    <w:rsid w:val="00133AAC"/>
    <w:rsid w:val="00133B54"/>
    <w:rsid w:val="00133DDC"/>
    <w:rsid w:val="00134549"/>
    <w:rsid w:val="001346F4"/>
    <w:rsid w:val="00134778"/>
    <w:rsid w:val="00134801"/>
    <w:rsid w:val="00134999"/>
    <w:rsid w:val="00134A06"/>
    <w:rsid w:val="00134BAA"/>
    <w:rsid w:val="00134BC7"/>
    <w:rsid w:val="00134E66"/>
    <w:rsid w:val="00134E6E"/>
    <w:rsid w:val="00134F15"/>
    <w:rsid w:val="00134F1E"/>
    <w:rsid w:val="00134F6C"/>
    <w:rsid w:val="00135193"/>
    <w:rsid w:val="001351E3"/>
    <w:rsid w:val="00135403"/>
    <w:rsid w:val="001359E3"/>
    <w:rsid w:val="00135B70"/>
    <w:rsid w:val="00135BCE"/>
    <w:rsid w:val="00135C4D"/>
    <w:rsid w:val="00135D8D"/>
    <w:rsid w:val="00135E8B"/>
    <w:rsid w:val="00136050"/>
    <w:rsid w:val="00136202"/>
    <w:rsid w:val="0013663D"/>
    <w:rsid w:val="001366C4"/>
    <w:rsid w:val="0013675F"/>
    <w:rsid w:val="00137149"/>
    <w:rsid w:val="001377DB"/>
    <w:rsid w:val="001379B0"/>
    <w:rsid w:val="00137A41"/>
    <w:rsid w:val="00137B7B"/>
    <w:rsid w:val="00137EAC"/>
    <w:rsid w:val="001400D3"/>
    <w:rsid w:val="001402CE"/>
    <w:rsid w:val="00140346"/>
    <w:rsid w:val="00140452"/>
    <w:rsid w:val="0014045C"/>
    <w:rsid w:val="00140787"/>
    <w:rsid w:val="0014078E"/>
    <w:rsid w:val="00140AC6"/>
    <w:rsid w:val="00140C77"/>
    <w:rsid w:val="00140D00"/>
    <w:rsid w:val="00140F24"/>
    <w:rsid w:val="00140FD1"/>
    <w:rsid w:val="00141032"/>
    <w:rsid w:val="001414CA"/>
    <w:rsid w:val="0014173A"/>
    <w:rsid w:val="001417D1"/>
    <w:rsid w:val="0014192C"/>
    <w:rsid w:val="00141D2A"/>
    <w:rsid w:val="00141D5C"/>
    <w:rsid w:val="00142148"/>
    <w:rsid w:val="0014240F"/>
    <w:rsid w:val="00142570"/>
    <w:rsid w:val="001427F9"/>
    <w:rsid w:val="001428DA"/>
    <w:rsid w:val="001429A6"/>
    <w:rsid w:val="00142AB5"/>
    <w:rsid w:val="00142E9D"/>
    <w:rsid w:val="00142F2F"/>
    <w:rsid w:val="00143174"/>
    <w:rsid w:val="0014330C"/>
    <w:rsid w:val="001433C6"/>
    <w:rsid w:val="0014346E"/>
    <w:rsid w:val="0014355A"/>
    <w:rsid w:val="00143560"/>
    <w:rsid w:val="00143645"/>
    <w:rsid w:val="0014388A"/>
    <w:rsid w:val="00143C24"/>
    <w:rsid w:val="00143F68"/>
    <w:rsid w:val="001440C3"/>
    <w:rsid w:val="0014451E"/>
    <w:rsid w:val="00144605"/>
    <w:rsid w:val="00144887"/>
    <w:rsid w:val="00144A33"/>
    <w:rsid w:val="00144C11"/>
    <w:rsid w:val="00144EED"/>
    <w:rsid w:val="001450AA"/>
    <w:rsid w:val="00145558"/>
    <w:rsid w:val="0014570B"/>
    <w:rsid w:val="001457CC"/>
    <w:rsid w:val="00145D16"/>
    <w:rsid w:val="00146015"/>
    <w:rsid w:val="00146016"/>
    <w:rsid w:val="001460FC"/>
    <w:rsid w:val="0014626B"/>
    <w:rsid w:val="001466FA"/>
    <w:rsid w:val="00146A0D"/>
    <w:rsid w:val="00146E14"/>
    <w:rsid w:val="0014718B"/>
    <w:rsid w:val="00147694"/>
    <w:rsid w:val="001476C5"/>
    <w:rsid w:val="00147A43"/>
    <w:rsid w:val="00147ACE"/>
    <w:rsid w:val="00147EE5"/>
    <w:rsid w:val="001505B8"/>
    <w:rsid w:val="00150620"/>
    <w:rsid w:val="00150872"/>
    <w:rsid w:val="00150960"/>
    <w:rsid w:val="00150D4C"/>
    <w:rsid w:val="00150D74"/>
    <w:rsid w:val="00150E78"/>
    <w:rsid w:val="00150F94"/>
    <w:rsid w:val="0015100A"/>
    <w:rsid w:val="001510DA"/>
    <w:rsid w:val="0015125A"/>
    <w:rsid w:val="0015160B"/>
    <w:rsid w:val="0015178B"/>
    <w:rsid w:val="001517C7"/>
    <w:rsid w:val="00151924"/>
    <w:rsid w:val="001519C7"/>
    <w:rsid w:val="00151ABF"/>
    <w:rsid w:val="00151BFD"/>
    <w:rsid w:val="00151E29"/>
    <w:rsid w:val="00152596"/>
    <w:rsid w:val="001527A4"/>
    <w:rsid w:val="0015280C"/>
    <w:rsid w:val="00152C36"/>
    <w:rsid w:val="00152DFD"/>
    <w:rsid w:val="00153169"/>
    <w:rsid w:val="00153180"/>
    <w:rsid w:val="001531BC"/>
    <w:rsid w:val="00153466"/>
    <w:rsid w:val="001534C0"/>
    <w:rsid w:val="0015387B"/>
    <w:rsid w:val="00153927"/>
    <w:rsid w:val="00153A11"/>
    <w:rsid w:val="00153B9F"/>
    <w:rsid w:val="0015409D"/>
    <w:rsid w:val="0015415B"/>
    <w:rsid w:val="00154651"/>
    <w:rsid w:val="001546F4"/>
    <w:rsid w:val="0015499F"/>
    <w:rsid w:val="00154C1F"/>
    <w:rsid w:val="00154FAF"/>
    <w:rsid w:val="001554CB"/>
    <w:rsid w:val="001556E5"/>
    <w:rsid w:val="001557C3"/>
    <w:rsid w:val="001561B1"/>
    <w:rsid w:val="00156437"/>
    <w:rsid w:val="00156520"/>
    <w:rsid w:val="001567BE"/>
    <w:rsid w:val="00156AA8"/>
    <w:rsid w:val="00156D48"/>
    <w:rsid w:val="00156D57"/>
    <w:rsid w:val="00156D9B"/>
    <w:rsid w:val="00156F48"/>
    <w:rsid w:val="0015721A"/>
    <w:rsid w:val="001572EB"/>
    <w:rsid w:val="0015742B"/>
    <w:rsid w:val="00157485"/>
    <w:rsid w:val="0015782F"/>
    <w:rsid w:val="00157957"/>
    <w:rsid w:val="00157A7D"/>
    <w:rsid w:val="00157AA4"/>
    <w:rsid w:val="00157BDA"/>
    <w:rsid w:val="00157D88"/>
    <w:rsid w:val="00160223"/>
    <w:rsid w:val="001602A9"/>
    <w:rsid w:val="00160540"/>
    <w:rsid w:val="00160851"/>
    <w:rsid w:val="001609E2"/>
    <w:rsid w:val="00160B20"/>
    <w:rsid w:val="00160CEC"/>
    <w:rsid w:val="00160D08"/>
    <w:rsid w:val="00161341"/>
    <w:rsid w:val="001616C3"/>
    <w:rsid w:val="00161887"/>
    <w:rsid w:val="00161BA4"/>
    <w:rsid w:val="00161BBA"/>
    <w:rsid w:val="00161ED0"/>
    <w:rsid w:val="001624DA"/>
    <w:rsid w:val="0016263F"/>
    <w:rsid w:val="001626CE"/>
    <w:rsid w:val="00162C2C"/>
    <w:rsid w:val="00162F8C"/>
    <w:rsid w:val="001632DD"/>
    <w:rsid w:val="001632FC"/>
    <w:rsid w:val="00163304"/>
    <w:rsid w:val="00163402"/>
    <w:rsid w:val="0016354C"/>
    <w:rsid w:val="00163981"/>
    <w:rsid w:val="00163A00"/>
    <w:rsid w:val="00163BC5"/>
    <w:rsid w:val="00163E0F"/>
    <w:rsid w:val="00163FF3"/>
    <w:rsid w:val="001641E8"/>
    <w:rsid w:val="001644DB"/>
    <w:rsid w:val="001644E6"/>
    <w:rsid w:val="00164663"/>
    <w:rsid w:val="00164742"/>
    <w:rsid w:val="001648E0"/>
    <w:rsid w:val="001648FF"/>
    <w:rsid w:val="001649B4"/>
    <w:rsid w:val="00164B79"/>
    <w:rsid w:val="00164BC2"/>
    <w:rsid w:val="00164EE9"/>
    <w:rsid w:val="001652A6"/>
    <w:rsid w:val="001652D6"/>
    <w:rsid w:val="001654EB"/>
    <w:rsid w:val="00165573"/>
    <w:rsid w:val="001656D0"/>
    <w:rsid w:val="001656F8"/>
    <w:rsid w:val="001657EB"/>
    <w:rsid w:val="00165CE2"/>
    <w:rsid w:val="00165F31"/>
    <w:rsid w:val="0016612E"/>
    <w:rsid w:val="0016614E"/>
    <w:rsid w:val="00166439"/>
    <w:rsid w:val="00166569"/>
    <w:rsid w:val="0016658C"/>
    <w:rsid w:val="001669AA"/>
    <w:rsid w:val="00166A73"/>
    <w:rsid w:val="001672B8"/>
    <w:rsid w:val="001675FA"/>
    <w:rsid w:val="001679D6"/>
    <w:rsid w:val="00167D48"/>
    <w:rsid w:val="00167E40"/>
    <w:rsid w:val="00167F1B"/>
    <w:rsid w:val="00170284"/>
    <w:rsid w:val="00170335"/>
    <w:rsid w:val="0017086A"/>
    <w:rsid w:val="0017095C"/>
    <w:rsid w:val="00170CC4"/>
    <w:rsid w:val="00170F4F"/>
    <w:rsid w:val="00171151"/>
    <w:rsid w:val="0017136C"/>
    <w:rsid w:val="00171387"/>
    <w:rsid w:val="00171484"/>
    <w:rsid w:val="0017170D"/>
    <w:rsid w:val="001717CC"/>
    <w:rsid w:val="00171885"/>
    <w:rsid w:val="00171907"/>
    <w:rsid w:val="00171CD3"/>
    <w:rsid w:val="00171DC0"/>
    <w:rsid w:val="00171EC5"/>
    <w:rsid w:val="00171F79"/>
    <w:rsid w:val="00171FED"/>
    <w:rsid w:val="00172053"/>
    <w:rsid w:val="00172744"/>
    <w:rsid w:val="0017286F"/>
    <w:rsid w:val="00172C10"/>
    <w:rsid w:val="00173053"/>
    <w:rsid w:val="001731FA"/>
    <w:rsid w:val="00173493"/>
    <w:rsid w:val="001738C6"/>
    <w:rsid w:val="00174098"/>
    <w:rsid w:val="0017443D"/>
    <w:rsid w:val="00174966"/>
    <w:rsid w:val="00174E41"/>
    <w:rsid w:val="001752EF"/>
    <w:rsid w:val="001755BD"/>
    <w:rsid w:val="001757B3"/>
    <w:rsid w:val="001758AC"/>
    <w:rsid w:val="001758C7"/>
    <w:rsid w:val="00175D10"/>
    <w:rsid w:val="001761C1"/>
    <w:rsid w:val="00176A56"/>
    <w:rsid w:val="00176C04"/>
    <w:rsid w:val="00176E3B"/>
    <w:rsid w:val="00176F54"/>
    <w:rsid w:val="00177447"/>
    <w:rsid w:val="00177553"/>
    <w:rsid w:val="00177963"/>
    <w:rsid w:val="0018038B"/>
    <w:rsid w:val="001804A7"/>
    <w:rsid w:val="00180809"/>
    <w:rsid w:val="00180AE2"/>
    <w:rsid w:val="001810B2"/>
    <w:rsid w:val="001812EC"/>
    <w:rsid w:val="00181343"/>
    <w:rsid w:val="0018140D"/>
    <w:rsid w:val="00181456"/>
    <w:rsid w:val="001814F1"/>
    <w:rsid w:val="0018174E"/>
    <w:rsid w:val="00181B53"/>
    <w:rsid w:val="00181CF4"/>
    <w:rsid w:val="00181E15"/>
    <w:rsid w:val="00182487"/>
    <w:rsid w:val="0018259D"/>
    <w:rsid w:val="00182612"/>
    <w:rsid w:val="00182BD1"/>
    <w:rsid w:val="00182D4D"/>
    <w:rsid w:val="001831EA"/>
    <w:rsid w:val="0018370A"/>
    <w:rsid w:val="00183AF1"/>
    <w:rsid w:val="00183CC5"/>
    <w:rsid w:val="00183D27"/>
    <w:rsid w:val="00183EEE"/>
    <w:rsid w:val="00183EFB"/>
    <w:rsid w:val="00184071"/>
    <w:rsid w:val="00184158"/>
    <w:rsid w:val="0018437F"/>
    <w:rsid w:val="0018493C"/>
    <w:rsid w:val="001852F0"/>
    <w:rsid w:val="001854FA"/>
    <w:rsid w:val="00185785"/>
    <w:rsid w:val="00185AD3"/>
    <w:rsid w:val="00186178"/>
    <w:rsid w:val="001861C4"/>
    <w:rsid w:val="00186310"/>
    <w:rsid w:val="00186698"/>
    <w:rsid w:val="0018696D"/>
    <w:rsid w:val="00186BAA"/>
    <w:rsid w:val="00186C0E"/>
    <w:rsid w:val="00187132"/>
    <w:rsid w:val="00187308"/>
    <w:rsid w:val="00187467"/>
    <w:rsid w:val="0018753A"/>
    <w:rsid w:val="001875E3"/>
    <w:rsid w:val="00187B28"/>
    <w:rsid w:val="00187DE6"/>
    <w:rsid w:val="00187E64"/>
    <w:rsid w:val="0018B798"/>
    <w:rsid w:val="0019088B"/>
    <w:rsid w:val="0019099F"/>
    <w:rsid w:val="00190A9F"/>
    <w:rsid w:val="00190C03"/>
    <w:rsid w:val="0019153C"/>
    <w:rsid w:val="00191B3C"/>
    <w:rsid w:val="00191C91"/>
    <w:rsid w:val="00191E50"/>
    <w:rsid w:val="001921B8"/>
    <w:rsid w:val="00192ADA"/>
    <w:rsid w:val="00192D27"/>
    <w:rsid w:val="00192DE9"/>
    <w:rsid w:val="00192DEB"/>
    <w:rsid w:val="00193049"/>
    <w:rsid w:val="001934EE"/>
    <w:rsid w:val="001935AE"/>
    <w:rsid w:val="0019369F"/>
    <w:rsid w:val="0019370D"/>
    <w:rsid w:val="00193849"/>
    <w:rsid w:val="001939E2"/>
    <w:rsid w:val="00193A14"/>
    <w:rsid w:val="00193B0C"/>
    <w:rsid w:val="00193B86"/>
    <w:rsid w:val="001943B0"/>
    <w:rsid w:val="00194D14"/>
    <w:rsid w:val="00195009"/>
    <w:rsid w:val="00195C7C"/>
    <w:rsid w:val="00195C9A"/>
    <w:rsid w:val="00195F01"/>
    <w:rsid w:val="00196524"/>
    <w:rsid w:val="00196730"/>
    <w:rsid w:val="001967BE"/>
    <w:rsid w:val="001969B6"/>
    <w:rsid w:val="00196AF3"/>
    <w:rsid w:val="00196C76"/>
    <w:rsid w:val="00196F88"/>
    <w:rsid w:val="0019715F"/>
    <w:rsid w:val="001978A1"/>
    <w:rsid w:val="00197ADA"/>
    <w:rsid w:val="00197B4A"/>
    <w:rsid w:val="00197C69"/>
    <w:rsid w:val="001A03D8"/>
    <w:rsid w:val="001A050C"/>
    <w:rsid w:val="001A0939"/>
    <w:rsid w:val="001A0D2A"/>
    <w:rsid w:val="001A0E48"/>
    <w:rsid w:val="001A169B"/>
    <w:rsid w:val="001A1954"/>
    <w:rsid w:val="001A1A21"/>
    <w:rsid w:val="001A1A29"/>
    <w:rsid w:val="001A1E10"/>
    <w:rsid w:val="001A1FAB"/>
    <w:rsid w:val="001A23D2"/>
    <w:rsid w:val="001A2759"/>
    <w:rsid w:val="001A3172"/>
    <w:rsid w:val="001A34D2"/>
    <w:rsid w:val="001A3537"/>
    <w:rsid w:val="001A357D"/>
    <w:rsid w:val="001A37F8"/>
    <w:rsid w:val="001A3CD4"/>
    <w:rsid w:val="001A3D39"/>
    <w:rsid w:val="001A3D58"/>
    <w:rsid w:val="001A3E3E"/>
    <w:rsid w:val="001A3F5A"/>
    <w:rsid w:val="001A42E3"/>
    <w:rsid w:val="001A4393"/>
    <w:rsid w:val="001A445B"/>
    <w:rsid w:val="001A455B"/>
    <w:rsid w:val="001A45A2"/>
    <w:rsid w:val="001A487B"/>
    <w:rsid w:val="001A4D26"/>
    <w:rsid w:val="001A4F26"/>
    <w:rsid w:val="001A5231"/>
    <w:rsid w:val="001A52E1"/>
    <w:rsid w:val="001A5812"/>
    <w:rsid w:val="001A59DD"/>
    <w:rsid w:val="001A5B57"/>
    <w:rsid w:val="001A6498"/>
    <w:rsid w:val="001A6521"/>
    <w:rsid w:val="001A67BB"/>
    <w:rsid w:val="001A6873"/>
    <w:rsid w:val="001A6994"/>
    <w:rsid w:val="001A69C8"/>
    <w:rsid w:val="001A69E2"/>
    <w:rsid w:val="001A6AAC"/>
    <w:rsid w:val="001A6DF8"/>
    <w:rsid w:val="001A6FDF"/>
    <w:rsid w:val="001A7019"/>
    <w:rsid w:val="001A704F"/>
    <w:rsid w:val="001A70CB"/>
    <w:rsid w:val="001A70DE"/>
    <w:rsid w:val="001A7278"/>
    <w:rsid w:val="001A7324"/>
    <w:rsid w:val="001A7719"/>
    <w:rsid w:val="001A7753"/>
    <w:rsid w:val="001A778A"/>
    <w:rsid w:val="001A791C"/>
    <w:rsid w:val="001A79CE"/>
    <w:rsid w:val="001A79D4"/>
    <w:rsid w:val="001A7A7B"/>
    <w:rsid w:val="001B0536"/>
    <w:rsid w:val="001B05E3"/>
    <w:rsid w:val="001B0749"/>
    <w:rsid w:val="001B0DA6"/>
    <w:rsid w:val="001B0F23"/>
    <w:rsid w:val="001B0FC9"/>
    <w:rsid w:val="001B1220"/>
    <w:rsid w:val="001B1C6A"/>
    <w:rsid w:val="001B1CAC"/>
    <w:rsid w:val="001B1E69"/>
    <w:rsid w:val="001B1FB0"/>
    <w:rsid w:val="001B2199"/>
    <w:rsid w:val="001B2979"/>
    <w:rsid w:val="001B2A8B"/>
    <w:rsid w:val="001B325A"/>
    <w:rsid w:val="001B3584"/>
    <w:rsid w:val="001B3C7A"/>
    <w:rsid w:val="001B40C3"/>
    <w:rsid w:val="001B4688"/>
    <w:rsid w:val="001B46E9"/>
    <w:rsid w:val="001B4ABE"/>
    <w:rsid w:val="001B4D32"/>
    <w:rsid w:val="001B4D46"/>
    <w:rsid w:val="001B4F37"/>
    <w:rsid w:val="001B50D6"/>
    <w:rsid w:val="001B5134"/>
    <w:rsid w:val="001B51F5"/>
    <w:rsid w:val="001B53CE"/>
    <w:rsid w:val="001B54D4"/>
    <w:rsid w:val="001B567A"/>
    <w:rsid w:val="001B56B0"/>
    <w:rsid w:val="001B5763"/>
    <w:rsid w:val="001B5B11"/>
    <w:rsid w:val="001B5B84"/>
    <w:rsid w:val="001B5D83"/>
    <w:rsid w:val="001B5FBB"/>
    <w:rsid w:val="001B604B"/>
    <w:rsid w:val="001B6092"/>
    <w:rsid w:val="001B6B1C"/>
    <w:rsid w:val="001B6B46"/>
    <w:rsid w:val="001B6B51"/>
    <w:rsid w:val="001B6BAF"/>
    <w:rsid w:val="001B70C5"/>
    <w:rsid w:val="001B758F"/>
    <w:rsid w:val="001B7A03"/>
    <w:rsid w:val="001B7A06"/>
    <w:rsid w:val="001B7DB4"/>
    <w:rsid w:val="001C0599"/>
    <w:rsid w:val="001C062E"/>
    <w:rsid w:val="001C064F"/>
    <w:rsid w:val="001C104E"/>
    <w:rsid w:val="001C10A4"/>
    <w:rsid w:val="001C139F"/>
    <w:rsid w:val="001C1F5E"/>
    <w:rsid w:val="001C1F7D"/>
    <w:rsid w:val="001C20D8"/>
    <w:rsid w:val="001C220E"/>
    <w:rsid w:val="001C23BE"/>
    <w:rsid w:val="001C23C1"/>
    <w:rsid w:val="001C2436"/>
    <w:rsid w:val="001C27CC"/>
    <w:rsid w:val="001C2820"/>
    <w:rsid w:val="001C29FD"/>
    <w:rsid w:val="001C2A5B"/>
    <w:rsid w:val="001C2F51"/>
    <w:rsid w:val="001C3078"/>
    <w:rsid w:val="001C346C"/>
    <w:rsid w:val="001C3631"/>
    <w:rsid w:val="001C3657"/>
    <w:rsid w:val="001C3877"/>
    <w:rsid w:val="001C3ACC"/>
    <w:rsid w:val="001C3AD0"/>
    <w:rsid w:val="001C3BBA"/>
    <w:rsid w:val="001C3CB6"/>
    <w:rsid w:val="001C3D29"/>
    <w:rsid w:val="001C4014"/>
    <w:rsid w:val="001C4238"/>
    <w:rsid w:val="001C438E"/>
    <w:rsid w:val="001C46AC"/>
    <w:rsid w:val="001C473F"/>
    <w:rsid w:val="001C47CA"/>
    <w:rsid w:val="001C4A56"/>
    <w:rsid w:val="001C516D"/>
    <w:rsid w:val="001C5959"/>
    <w:rsid w:val="001C5AC5"/>
    <w:rsid w:val="001C5B6E"/>
    <w:rsid w:val="001C5E70"/>
    <w:rsid w:val="001C5F2F"/>
    <w:rsid w:val="001C5F3F"/>
    <w:rsid w:val="001C600B"/>
    <w:rsid w:val="001C6386"/>
    <w:rsid w:val="001C6AA0"/>
    <w:rsid w:val="001C6B53"/>
    <w:rsid w:val="001C6F23"/>
    <w:rsid w:val="001C6FED"/>
    <w:rsid w:val="001C7086"/>
    <w:rsid w:val="001C70FD"/>
    <w:rsid w:val="001C73F4"/>
    <w:rsid w:val="001C763E"/>
    <w:rsid w:val="001C767D"/>
    <w:rsid w:val="001C7736"/>
    <w:rsid w:val="001C78D3"/>
    <w:rsid w:val="001C7E81"/>
    <w:rsid w:val="001D0180"/>
    <w:rsid w:val="001D0471"/>
    <w:rsid w:val="001D0A3B"/>
    <w:rsid w:val="001D0E82"/>
    <w:rsid w:val="001D113C"/>
    <w:rsid w:val="001D12ED"/>
    <w:rsid w:val="001D17EF"/>
    <w:rsid w:val="001D1D5C"/>
    <w:rsid w:val="001D1EDA"/>
    <w:rsid w:val="001D217D"/>
    <w:rsid w:val="001D221E"/>
    <w:rsid w:val="001D2222"/>
    <w:rsid w:val="001D23A7"/>
    <w:rsid w:val="001D2787"/>
    <w:rsid w:val="001D2A18"/>
    <w:rsid w:val="001D301E"/>
    <w:rsid w:val="001D3672"/>
    <w:rsid w:val="001D3758"/>
    <w:rsid w:val="001D3F20"/>
    <w:rsid w:val="001D3FE9"/>
    <w:rsid w:val="001D407E"/>
    <w:rsid w:val="001D49C4"/>
    <w:rsid w:val="001D4B37"/>
    <w:rsid w:val="001D4FEB"/>
    <w:rsid w:val="001D52E5"/>
    <w:rsid w:val="001D54F9"/>
    <w:rsid w:val="001D5A8A"/>
    <w:rsid w:val="001D62BE"/>
    <w:rsid w:val="001D659B"/>
    <w:rsid w:val="001D6739"/>
    <w:rsid w:val="001D67DE"/>
    <w:rsid w:val="001D68F6"/>
    <w:rsid w:val="001D6AF6"/>
    <w:rsid w:val="001D6BC5"/>
    <w:rsid w:val="001D6BFA"/>
    <w:rsid w:val="001D6F0D"/>
    <w:rsid w:val="001D711B"/>
    <w:rsid w:val="001D75B7"/>
    <w:rsid w:val="001D7A18"/>
    <w:rsid w:val="001D7D44"/>
    <w:rsid w:val="001E0188"/>
    <w:rsid w:val="001E064C"/>
    <w:rsid w:val="001E0B00"/>
    <w:rsid w:val="001E0D31"/>
    <w:rsid w:val="001E0F20"/>
    <w:rsid w:val="001E1471"/>
    <w:rsid w:val="001E16C7"/>
    <w:rsid w:val="001E182C"/>
    <w:rsid w:val="001E1CDC"/>
    <w:rsid w:val="001E2028"/>
    <w:rsid w:val="001E20FC"/>
    <w:rsid w:val="001E21A3"/>
    <w:rsid w:val="001E227F"/>
    <w:rsid w:val="001E27A5"/>
    <w:rsid w:val="001E2859"/>
    <w:rsid w:val="001E31C0"/>
    <w:rsid w:val="001E320D"/>
    <w:rsid w:val="001E3397"/>
    <w:rsid w:val="001E348F"/>
    <w:rsid w:val="001E3494"/>
    <w:rsid w:val="001E34AB"/>
    <w:rsid w:val="001E36A8"/>
    <w:rsid w:val="001E3991"/>
    <w:rsid w:val="001E39E6"/>
    <w:rsid w:val="001E3A2B"/>
    <w:rsid w:val="001E3CEA"/>
    <w:rsid w:val="001E3F88"/>
    <w:rsid w:val="001E463B"/>
    <w:rsid w:val="001E463E"/>
    <w:rsid w:val="001E49EA"/>
    <w:rsid w:val="001E4BD9"/>
    <w:rsid w:val="001E4C6C"/>
    <w:rsid w:val="001E4F5C"/>
    <w:rsid w:val="001E5290"/>
    <w:rsid w:val="001E5465"/>
    <w:rsid w:val="001E5475"/>
    <w:rsid w:val="001E597F"/>
    <w:rsid w:val="001E5BE1"/>
    <w:rsid w:val="001E5BF0"/>
    <w:rsid w:val="001E5C1D"/>
    <w:rsid w:val="001E5C29"/>
    <w:rsid w:val="001E5D87"/>
    <w:rsid w:val="001E60E9"/>
    <w:rsid w:val="001E611B"/>
    <w:rsid w:val="001E6212"/>
    <w:rsid w:val="001E62B0"/>
    <w:rsid w:val="001E666D"/>
    <w:rsid w:val="001E68FA"/>
    <w:rsid w:val="001E6995"/>
    <w:rsid w:val="001E6D02"/>
    <w:rsid w:val="001E6DAB"/>
    <w:rsid w:val="001E6F98"/>
    <w:rsid w:val="001E70D8"/>
    <w:rsid w:val="001E739A"/>
    <w:rsid w:val="001E7830"/>
    <w:rsid w:val="001E7941"/>
    <w:rsid w:val="001F01D5"/>
    <w:rsid w:val="001F0BFA"/>
    <w:rsid w:val="001F0C43"/>
    <w:rsid w:val="001F0EA6"/>
    <w:rsid w:val="001F1364"/>
    <w:rsid w:val="001F1445"/>
    <w:rsid w:val="001F14E8"/>
    <w:rsid w:val="001F2211"/>
    <w:rsid w:val="001F28A6"/>
    <w:rsid w:val="001F2F76"/>
    <w:rsid w:val="001F2FED"/>
    <w:rsid w:val="001F323F"/>
    <w:rsid w:val="001F328C"/>
    <w:rsid w:val="001F3304"/>
    <w:rsid w:val="001F3449"/>
    <w:rsid w:val="001F35CA"/>
    <w:rsid w:val="001F36CF"/>
    <w:rsid w:val="001F38BF"/>
    <w:rsid w:val="001F38EF"/>
    <w:rsid w:val="001F3F03"/>
    <w:rsid w:val="001F4EBA"/>
    <w:rsid w:val="001F5055"/>
    <w:rsid w:val="001F570C"/>
    <w:rsid w:val="001F5D85"/>
    <w:rsid w:val="001F6253"/>
    <w:rsid w:val="001F64D4"/>
    <w:rsid w:val="001F654F"/>
    <w:rsid w:val="001F65E5"/>
    <w:rsid w:val="001F6B80"/>
    <w:rsid w:val="001F6D26"/>
    <w:rsid w:val="001F75FA"/>
    <w:rsid w:val="001F787B"/>
    <w:rsid w:val="001F7883"/>
    <w:rsid w:val="001F7CAA"/>
    <w:rsid w:val="002000B2"/>
    <w:rsid w:val="002006D8"/>
    <w:rsid w:val="00200834"/>
    <w:rsid w:val="00200BF4"/>
    <w:rsid w:val="00200CF6"/>
    <w:rsid w:val="002010D1"/>
    <w:rsid w:val="002015DB"/>
    <w:rsid w:val="0020181B"/>
    <w:rsid w:val="0020197B"/>
    <w:rsid w:val="00201BB7"/>
    <w:rsid w:val="002021D2"/>
    <w:rsid w:val="00202588"/>
    <w:rsid w:val="002028A2"/>
    <w:rsid w:val="00203DB0"/>
    <w:rsid w:val="0020409C"/>
    <w:rsid w:val="00204220"/>
    <w:rsid w:val="00204588"/>
    <w:rsid w:val="002048BD"/>
    <w:rsid w:val="00204A70"/>
    <w:rsid w:val="00204BB8"/>
    <w:rsid w:val="00204BEF"/>
    <w:rsid w:val="00204CDE"/>
    <w:rsid w:val="002055C1"/>
    <w:rsid w:val="0020565A"/>
    <w:rsid w:val="002057E8"/>
    <w:rsid w:val="00205831"/>
    <w:rsid w:val="00205930"/>
    <w:rsid w:val="00205B38"/>
    <w:rsid w:val="00205BBD"/>
    <w:rsid w:val="002060C8"/>
    <w:rsid w:val="00206303"/>
    <w:rsid w:val="0020630A"/>
    <w:rsid w:val="00206346"/>
    <w:rsid w:val="00206699"/>
    <w:rsid w:val="00206912"/>
    <w:rsid w:val="00206C15"/>
    <w:rsid w:val="00206F6A"/>
    <w:rsid w:val="002071F0"/>
    <w:rsid w:val="002071F1"/>
    <w:rsid w:val="00207343"/>
    <w:rsid w:val="00207358"/>
    <w:rsid w:val="002075E1"/>
    <w:rsid w:val="00207980"/>
    <w:rsid w:val="00207BF7"/>
    <w:rsid w:val="00207FA2"/>
    <w:rsid w:val="00210ACF"/>
    <w:rsid w:val="00210EA6"/>
    <w:rsid w:val="002110B9"/>
    <w:rsid w:val="0021129E"/>
    <w:rsid w:val="00211465"/>
    <w:rsid w:val="00211503"/>
    <w:rsid w:val="0021189E"/>
    <w:rsid w:val="002118D5"/>
    <w:rsid w:val="00211F5F"/>
    <w:rsid w:val="002126B8"/>
    <w:rsid w:val="002128FF"/>
    <w:rsid w:val="0021295C"/>
    <w:rsid w:val="00212A31"/>
    <w:rsid w:val="00212BB3"/>
    <w:rsid w:val="00212D03"/>
    <w:rsid w:val="00213061"/>
    <w:rsid w:val="00213079"/>
    <w:rsid w:val="002131D6"/>
    <w:rsid w:val="00213505"/>
    <w:rsid w:val="002135F6"/>
    <w:rsid w:val="0021360A"/>
    <w:rsid w:val="00213656"/>
    <w:rsid w:val="00213673"/>
    <w:rsid w:val="00213829"/>
    <w:rsid w:val="00213B37"/>
    <w:rsid w:val="00213C46"/>
    <w:rsid w:val="00214028"/>
    <w:rsid w:val="002140B7"/>
    <w:rsid w:val="0021521B"/>
    <w:rsid w:val="002152B5"/>
    <w:rsid w:val="002153C1"/>
    <w:rsid w:val="0021549D"/>
    <w:rsid w:val="0021586B"/>
    <w:rsid w:val="0021615B"/>
    <w:rsid w:val="002167DA"/>
    <w:rsid w:val="00216925"/>
    <w:rsid w:val="00216AD6"/>
    <w:rsid w:val="00216EC8"/>
    <w:rsid w:val="00216F92"/>
    <w:rsid w:val="00217189"/>
    <w:rsid w:val="00217372"/>
    <w:rsid w:val="002173E7"/>
    <w:rsid w:val="002174C8"/>
    <w:rsid w:val="00217839"/>
    <w:rsid w:val="00217B67"/>
    <w:rsid w:val="00217CDB"/>
    <w:rsid w:val="00217E7E"/>
    <w:rsid w:val="00217FEC"/>
    <w:rsid w:val="0022011A"/>
    <w:rsid w:val="00220159"/>
    <w:rsid w:val="002202EA"/>
    <w:rsid w:val="00220482"/>
    <w:rsid w:val="0022048B"/>
    <w:rsid w:val="00220635"/>
    <w:rsid w:val="0022087E"/>
    <w:rsid w:val="002208F9"/>
    <w:rsid w:val="00220CF3"/>
    <w:rsid w:val="00220DC1"/>
    <w:rsid w:val="002212EF"/>
    <w:rsid w:val="00221462"/>
    <w:rsid w:val="002214D2"/>
    <w:rsid w:val="00221556"/>
    <w:rsid w:val="0022164F"/>
    <w:rsid w:val="002216F8"/>
    <w:rsid w:val="002222FF"/>
    <w:rsid w:val="0022242D"/>
    <w:rsid w:val="0022246A"/>
    <w:rsid w:val="00222474"/>
    <w:rsid w:val="002224BB"/>
    <w:rsid w:val="00222B8B"/>
    <w:rsid w:val="00222E2B"/>
    <w:rsid w:val="002230DA"/>
    <w:rsid w:val="002234E2"/>
    <w:rsid w:val="00223BA0"/>
    <w:rsid w:val="0022402B"/>
    <w:rsid w:val="0022407F"/>
    <w:rsid w:val="00224221"/>
    <w:rsid w:val="00224588"/>
    <w:rsid w:val="002245A5"/>
    <w:rsid w:val="00224C03"/>
    <w:rsid w:val="00224C61"/>
    <w:rsid w:val="00224D7C"/>
    <w:rsid w:val="00224DA2"/>
    <w:rsid w:val="00224FC2"/>
    <w:rsid w:val="00224FD4"/>
    <w:rsid w:val="00225104"/>
    <w:rsid w:val="002252A0"/>
    <w:rsid w:val="00225311"/>
    <w:rsid w:val="0022548A"/>
    <w:rsid w:val="002257E0"/>
    <w:rsid w:val="00225A35"/>
    <w:rsid w:val="00225B0A"/>
    <w:rsid w:val="00225FC4"/>
    <w:rsid w:val="00226085"/>
    <w:rsid w:val="00226140"/>
    <w:rsid w:val="0022631D"/>
    <w:rsid w:val="002263E6"/>
    <w:rsid w:val="002264DF"/>
    <w:rsid w:val="0022658F"/>
    <w:rsid w:val="002265CD"/>
    <w:rsid w:val="0022678D"/>
    <w:rsid w:val="002267E1"/>
    <w:rsid w:val="00226975"/>
    <w:rsid w:val="00226B35"/>
    <w:rsid w:val="00226B64"/>
    <w:rsid w:val="00226C25"/>
    <w:rsid w:val="00226CD4"/>
    <w:rsid w:val="00227073"/>
    <w:rsid w:val="0022708B"/>
    <w:rsid w:val="002270AF"/>
    <w:rsid w:val="0022712F"/>
    <w:rsid w:val="0022752F"/>
    <w:rsid w:val="00227553"/>
    <w:rsid w:val="00227587"/>
    <w:rsid w:val="002277BA"/>
    <w:rsid w:val="002278DE"/>
    <w:rsid w:val="00227AFA"/>
    <w:rsid w:val="00227C5C"/>
    <w:rsid w:val="00230907"/>
    <w:rsid w:val="00230D0F"/>
    <w:rsid w:val="00230D61"/>
    <w:rsid w:val="00230D7A"/>
    <w:rsid w:val="00230DD8"/>
    <w:rsid w:val="00231159"/>
    <w:rsid w:val="00231715"/>
    <w:rsid w:val="0023184F"/>
    <w:rsid w:val="00231FB1"/>
    <w:rsid w:val="002323A6"/>
    <w:rsid w:val="00232731"/>
    <w:rsid w:val="00232864"/>
    <w:rsid w:val="002329F1"/>
    <w:rsid w:val="00232D01"/>
    <w:rsid w:val="00232E62"/>
    <w:rsid w:val="00232EAF"/>
    <w:rsid w:val="002332B4"/>
    <w:rsid w:val="002336BE"/>
    <w:rsid w:val="0023378D"/>
    <w:rsid w:val="002337E0"/>
    <w:rsid w:val="00233A2B"/>
    <w:rsid w:val="00233C1B"/>
    <w:rsid w:val="00233E64"/>
    <w:rsid w:val="00233F4E"/>
    <w:rsid w:val="00234032"/>
    <w:rsid w:val="00234060"/>
    <w:rsid w:val="002340F5"/>
    <w:rsid w:val="0023416C"/>
    <w:rsid w:val="002346D1"/>
    <w:rsid w:val="00234A0B"/>
    <w:rsid w:val="00234C88"/>
    <w:rsid w:val="00234CB2"/>
    <w:rsid w:val="00234CC7"/>
    <w:rsid w:val="00234EFD"/>
    <w:rsid w:val="00234F39"/>
    <w:rsid w:val="00234F90"/>
    <w:rsid w:val="0023513D"/>
    <w:rsid w:val="0023545C"/>
    <w:rsid w:val="00235486"/>
    <w:rsid w:val="002354EF"/>
    <w:rsid w:val="0023556F"/>
    <w:rsid w:val="00235673"/>
    <w:rsid w:val="00235D45"/>
    <w:rsid w:val="00236986"/>
    <w:rsid w:val="00236A52"/>
    <w:rsid w:val="002370CD"/>
    <w:rsid w:val="002371E5"/>
    <w:rsid w:val="0023739B"/>
    <w:rsid w:val="002374AA"/>
    <w:rsid w:val="00237C41"/>
    <w:rsid w:val="00237DAA"/>
    <w:rsid w:val="002401FD"/>
    <w:rsid w:val="002407CE"/>
    <w:rsid w:val="00240825"/>
    <w:rsid w:val="00240A6F"/>
    <w:rsid w:val="00240D5C"/>
    <w:rsid w:val="00241087"/>
    <w:rsid w:val="002410B4"/>
    <w:rsid w:val="00241103"/>
    <w:rsid w:val="002412DF"/>
    <w:rsid w:val="00241B39"/>
    <w:rsid w:val="00241E13"/>
    <w:rsid w:val="002421B6"/>
    <w:rsid w:val="00242397"/>
    <w:rsid w:val="002426C8"/>
    <w:rsid w:val="00242A50"/>
    <w:rsid w:val="00242A99"/>
    <w:rsid w:val="00242AA9"/>
    <w:rsid w:val="00242AE9"/>
    <w:rsid w:val="00242D01"/>
    <w:rsid w:val="00243022"/>
    <w:rsid w:val="00243069"/>
    <w:rsid w:val="002437AC"/>
    <w:rsid w:val="00243969"/>
    <w:rsid w:val="00243C2F"/>
    <w:rsid w:val="00243D47"/>
    <w:rsid w:val="00243D81"/>
    <w:rsid w:val="00243DA3"/>
    <w:rsid w:val="00244325"/>
    <w:rsid w:val="00244B32"/>
    <w:rsid w:val="00244D03"/>
    <w:rsid w:val="00244D43"/>
    <w:rsid w:val="00244FC1"/>
    <w:rsid w:val="002454EB"/>
    <w:rsid w:val="0024558A"/>
    <w:rsid w:val="00245AC2"/>
    <w:rsid w:val="00245B05"/>
    <w:rsid w:val="00245CB6"/>
    <w:rsid w:val="00245D1B"/>
    <w:rsid w:val="002463C5"/>
    <w:rsid w:val="002464FC"/>
    <w:rsid w:val="00246737"/>
    <w:rsid w:val="00246A6C"/>
    <w:rsid w:val="00246BCF"/>
    <w:rsid w:val="00246D3F"/>
    <w:rsid w:val="00246E53"/>
    <w:rsid w:val="00246FBA"/>
    <w:rsid w:val="00247049"/>
    <w:rsid w:val="00247605"/>
    <w:rsid w:val="0024793D"/>
    <w:rsid w:val="00247BD1"/>
    <w:rsid w:val="00247EB1"/>
    <w:rsid w:val="00247EB5"/>
    <w:rsid w:val="00247F60"/>
    <w:rsid w:val="00250262"/>
    <w:rsid w:val="00250538"/>
    <w:rsid w:val="00250834"/>
    <w:rsid w:val="0025086B"/>
    <w:rsid w:val="002508A7"/>
    <w:rsid w:val="00250A5B"/>
    <w:rsid w:val="00250BD6"/>
    <w:rsid w:val="00250C06"/>
    <w:rsid w:val="00250F4A"/>
    <w:rsid w:val="00251280"/>
    <w:rsid w:val="002512CB"/>
    <w:rsid w:val="002513C8"/>
    <w:rsid w:val="002513F1"/>
    <w:rsid w:val="002519E7"/>
    <w:rsid w:val="00251D6A"/>
    <w:rsid w:val="00251E5D"/>
    <w:rsid w:val="00251FBE"/>
    <w:rsid w:val="00252C17"/>
    <w:rsid w:val="00252CB3"/>
    <w:rsid w:val="00252D2D"/>
    <w:rsid w:val="00252EC3"/>
    <w:rsid w:val="00252F5D"/>
    <w:rsid w:val="002531B2"/>
    <w:rsid w:val="0025332D"/>
    <w:rsid w:val="0025349E"/>
    <w:rsid w:val="002536AD"/>
    <w:rsid w:val="002537A2"/>
    <w:rsid w:val="0025381D"/>
    <w:rsid w:val="00253B31"/>
    <w:rsid w:val="00253FD7"/>
    <w:rsid w:val="00254533"/>
    <w:rsid w:val="002545E9"/>
    <w:rsid w:val="0025478E"/>
    <w:rsid w:val="002547DB"/>
    <w:rsid w:val="00254912"/>
    <w:rsid w:val="00254BAC"/>
    <w:rsid w:val="00255059"/>
    <w:rsid w:val="00255084"/>
    <w:rsid w:val="00255226"/>
    <w:rsid w:val="002553B3"/>
    <w:rsid w:val="00255856"/>
    <w:rsid w:val="00255C77"/>
    <w:rsid w:val="00255C7F"/>
    <w:rsid w:val="00255D48"/>
    <w:rsid w:val="002562D6"/>
    <w:rsid w:val="00256373"/>
    <w:rsid w:val="002569D1"/>
    <w:rsid w:val="00256B74"/>
    <w:rsid w:val="00256E53"/>
    <w:rsid w:val="002570B7"/>
    <w:rsid w:val="002574C7"/>
    <w:rsid w:val="0025768D"/>
    <w:rsid w:val="002576FA"/>
    <w:rsid w:val="0025787C"/>
    <w:rsid w:val="00260069"/>
    <w:rsid w:val="00260332"/>
    <w:rsid w:val="002603A2"/>
    <w:rsid w:val="002604D3"/>
    <w:rsid w:val="00260EB4"/>
    <w:rsid w:val="00261416"/>
    <w:rsid w:val="002614E7"/>
    <w:rsid w:val="00261594"/>
    <w:rsid w:val="00261777"/>
    <w:rsid w:val="00261925"/>
    <w:rsid w:val="00261A35"/>
    <w:rsid w:val="00261AC7"/>
    <w:rsid w:val="002623EE"/>
    <w:rsid w:val="00263202"/>
    <w:rsid w:val="002635BB"/>
    <w:rsid w:val="0026387F"/>
    <w:rsid w:val="002638EB"/>
    <w:rsid w:val="00263E02"/>
    <w:rsid w:val="00264852"/>
    <w:rsid w:val="00264A0F"/>
    <w:rsid w:val="00264AD2"/>
    <w:rsid w:val="00264D1C"/>
    <w:rsid w:val="0026503E"/>
    <w:rsid w:val="002652E3"/>
    <w:rsid w:val="002653DB"/>
    <w:rsid w:val="0026599A"/>
    <w:rsid w:val="00265EAF"/>
    <w:rsid w:val="00266132"/>
    <w:rsid w:val="00266349"/>
    <w:rsid w:val="0026638F"/>
    <w:rsid w:val="0026652B"/>
    <w:rsid w:val="0026696E"/>
    <w:rsid w:val="00266A0A"/>
    <w:rsid w:val="002676D7"/>
    <w:rsid w:val="00267C91"/>
    <w:rsid w:val="00267D4E"/>
    <w:rsid w:val="00267E60"/>
    <w:rsid w:val="00267F34"/>
    <w:rsid w:val="00267F90"/>
    <w:rsid w:val="00270528"/>
    <w:rsid w:val="0027067C"/>
    <w:rsid w:val="00270692"/>
    <w:rsid w:val="00270D27"/>
    <w:rsid w:val="00270D5C"/>
    <w:rsid w:val="0027129C"/>
    <w:rsid w:val="00271401"/>
    <w:rsid w:val="00271890"/>
    <w:rsid w:val="00271E01"/>
    <w:rsid w:val="00271EA1"/>
    <w:rsid w:val="00271EB5"/>
    <w:rsid w:val="002723BA"/>
    <w:rsid w:val="002723CE"/>
    <w:rsid w:val="002728A3"/>
    <w:rsid w:val="00272DCA"/>
    <w:rsid w:val="00272F24"/>
    <w:rsid w:val="00272FA6"/>
    <w:rsid w:val="00273013"/>
    <w:rsid w:val="00273042"/>
    <w:rsid w:val="002732F9"/>
    <w:rsid w:val="002737C1"/>
    <w:rsid w:val="00273959"/>
    <w:rsid w:val="00273C87"/>
    <w:rsid w:val="00273F3F"/>
    <w:rsid w:val="00273F4D"/>
    <w:rsid w:val="0027421A"/>
    <w:rsid w:val="0027432D"/>
    <w:rsid w:val="00274783"/>
    <w:rsid w:val="002748C1"/>
    <w:rsid w:val="00274B60"/>
    <w:rsid w:val="00274E46"/>
    <w:rsid w:val="00274EA4"/>
    <w:rsid w:val="0027543F"/>
    <w:rsid w:val="0027564A"/>
    <w:rsid w:val="00275713"/>
    <w:rsid w:val="00275DF1"/>
    <w:rsid w:val="00275ED0"/>
    <w:rsid w:val="0027632E"/>
    <w:rsid w:val="00276359"/>
    <w:rsid w:val="002765F5"/>
    <w:rsid w:val="0027671F"/>
    <w:rsid w:val="002769FB"/>
    <w:rsid w:val="00276D5D"/>
    <w:rsid w:val="00276DB3"/>
    <w:rsid w:val="00276E01"/>
    <w:rsid w:val="002771C5"/>
    <w:rsid w:val="002772CC"/>
    <w:rsid w:val="00277669"/>
    <w:rsid w:val="00277914"/>
    <w:rsid w:val="00277A82"/>
    <w:rsid w:val="00277B10"/>
    <w:rsid w:val="00277CF6"/>
    <w:rsid w:val="00277D7E"/>
    <w:rsid w:val="002800AE"/>
    <w:rsid w:val="002801BC"/>
    <w:rsid w:val="00280493"/>
    <w:rsid w:val="0028059D"/>
    <w:rsid w:val="0028088E"/>
    <w:rsid w:val="0028097A"/>
    <w:rsid w:val="00280BED"/>
    <w:rsid w:val="00280DC5"/>
    <w:rsid w:val="00280FC7"/>
    <w:rsid w:val="002811CC"/>
    <w:rsid w:val="00281200"/>
    <w:rsid w:val="002814EE"/>
    <w:rsid w:val="002814F7"/>
    <w:rsid w:val="002817D8"/>
    <w:rsid w:val="0028199B"/>
    <w:rsid w:val="00281E71"/>
    <w:rsid w:val="00282347"/>
    <w:rsid w:val="00282849"/>
    <w:rsid w:val="00282FBE"/>
    <w:rsid w:val="002830F1"/>
    <w:rsid w:val="00283279"/>
    <w:rsid w:val="00283436"/>
    <w:rsid w:val="00283A72"/>
    <w:rsid w:val="00283ECC"/>
    <w:rsid w:val="002840B3"/>
    <w:rsid w:val="0028417C"/>
    <w:rsid w:val="00284EBA"/>
    <w:rsid w:val="00285138"/>
    <w:rsid w:val="002854CF"/>
    <w:rsid w:val="002859FB"/>
    <w:rsid w:val="00285F53"/>
    <w:rsid w:val="00285FD9"/>
    <w:rsid w:val="00286061"/>
    <w:rsid w:val="00286282"/>
    <w:rsid w:val="0028628D"/>
    <w:rsid w:val="002862A6"/>
    <w:rsid w:val="002867CC"/>
    <w:rsid w:val="00286CF6"/>
    <w:rsid w:val="00286D63"/>
    <w:rsid w:val="00287054"/>
    <w:rsid w:val="0028707F"/>
    <w:rsid w:val="0028727D"/>
    <w:rsid w:val="00287402"/>
    <w:rsid w:val="002879B4"/>
    <w:rsid w:val="00290080"/>
    <w:rsid w:val="0029054F"/>
    <w:rsid w:val="00290622"/>
    <w:rsid w:val="002906F5"/>
    <w:rsid w:val="00290ADC"/>
    <w:rsid w:val="00290D02"/>
    <w:rsid w:val="002910C6"/>
    <w:rsid w:val="0029195F"/>
    <w:rsid w:val="00291BC6"/>
    <w:rsid w:val="00291C07"/>
    <w:rsid w:val="00291C0E"/>
    <w:rsid w:val="00291FCC"/>
    <w:rsid w:val="00292204"/>
    <w:rsid w:val="0029242F"/>
    <w:rsid w:val="00292A4F"/>
    <w:rsid w:val="00292D31"/>
    <w:rsid w:val="00292D9A"/>
    <w:rsid w:val="00292EA7"/>
    <w:rsid w:val="002931C8"/>
    <w:rsid w:val="002931EF"/>
    <w:rsid w:val="0029320A"/>
    <w:rsid w:val="002939E7"/>
    <w:rsid w:val="00293B61"/>
    <w:rsid w:val="00293F1F"/>
    <w:rsid w:val="00293F9A"/>
    <w:rsid w:val="00293FFC"/>
    <w:rsid w:val="002945D4"/>
    <w:rsid w:val="00294F59"/>
    <w:rsid w:val="00294F75"/>
    <w:rsid w:val="002958E7"/>
    <w:rsid w:val="00295B42"/>
    <w:rsid w:val="00295D32"/>
    <w:rsid w:val="00295FE9"/>
    <w:rsid w:val="00295FFF"/>
    <w:rsid w:val="00296697"/>
    <w:rsid w:val="00296766"/>
    <w:rsid w:val="002967D3"/>
    <w:rsid w:val="00296B62"/>
    <w:rsid w:val="00296CBF"/>
    <w:rsid w:val="00296DD6"/>
    <w:rsid w:val="00296DF9"/>
    <w:rsid w:val="0029713F"/>
    <w:rsid w:val="002973FE"/>
    <w:rsid w:val="00297F3F"/>
    <w:rsid w:val="002A00D9"/>
    <w:rsid w:val="002A05DD"/>
    <w:rsid w:val="002A071B"/>
    <w:rsid w:val="002A0A2D"/>
    <w:rsid w:val="002A0C31"/>
    <w:rsid w:val="002A0F55"/>
    <w:rsid w:val="002A1B8F"/>
    <w:rsid w:val="002A1E6B"/>
    <w:rsid w:val="002A1EDE"/>
    <w:rsid w:val="002A2319"/>
    <w:rsid w:val="002A263E"/>
    <w:rsid w:val="002A30AF"/>
    <w:rsid w:val="002A37AA"/>
    <w:rsid w:val="002A38A2"/>
    <w:rsid w:val="002A3D80"/>
    <w:rsid w:val="002A40BC"/>
    <w:rsid w:val="002A4204"/>
    <w:rsid w:val="002A46BE"/>
    <w:rsid w:val="002A472E"/>
    <w:rsid w:val="002A4993"/>
    <w:rsid w:val="002A4F73"/>
    <w:rsid w:val="002A529B"/>
    <w:rsid w:val="002A597B"/>
    <w:rsid w:val="002A59D5"/>
    <w:rsid w:val="002A5A8A"/>
    <w:rsid w:val="002A632C"/>
    <w:rsid w:val="002A639B"/>
    <w:rsid w:val="002A66D0"/>
    <w:rsid w:val="002A6830"/>
    <w:rsid w:val="002A6D1B"/>
    <w:rsid w:val="002A6DFE"/>
    <w:rsid w:val="002A7085"/>
    <w:rsid w:val="002A75B1"/>
    <w:rsid w:val="002A76C6"/>
    <w:rsid w:val="002A7834"/>
    <w:rsid w:val="002B0132"/>
    <w:rsid w:val="002B0739"/>
    <w:rsid w:val="002B1057"/>
    <w:rsid w:val="002B114E"/>
    <w:rsid w:val="002B1247"/>
    <w:rsid w:val="002B1781"/>
    <w:rsid w:val="002B1A49"/>
    <w:rsid w:val="002B1A81"/>
    <w:rsid w:val="002B1C9F"/>
    <w:rsid w:val="002B1D9A"/>
    <w:rsid w:val="002B1FBF"/>
    <w:rsid w:val="002B230C"/>
    <w:rsid w:val="002B241E"/>
    <w:rsid w:val="002B26C9"/>
    <w:rsid w:val="002B2727"/>
    <w:rsid w:val="002B2800"/>
    <w:rsid w:val="002B28A8"/>
    <w:rsid w:val="002B2C6A"/>
    <w:rsid w:val="002B3131"/>
    <w:rsid w:val="002B3305"/>
    <w:rsid w:val="002B3372"/>
    <w:rsid w:val="002B344F"/>
    <w:rsid w:val="002B358A"/>
    <w:rsid w:val="002B38E7"/>
    <w:rsid w:val="002B3BFC"/>
    <w:rsid w:val="002B3FEF"/>
    <w:rsid w:val="002B4543"/>
    <w:rsid w:val="002B4B6A"/>
    <w:rsid w:val="002B4BAC"/>
    <w:rsid w:val="002B4C0A"/>
    <w:rsid w:val="002B4E2D"/>
    <w:rsid w:val="002B4F3B"/>
    <w:rsid w:val="002B4FAF"/>
    <w:rsid w:val="002B51FC"/>
    <w:rsid w:val="002B592D"/>
    <w:rsid w:val="002B59A5"/>
    <w:rsid w:val="002B5E69"/>
    <w:rsid w:val="002B641D"/>
    <w:rsid w:val="002B655B"/>
    <w:rsid w:val="002B6CF1"/>
    <w:rsid w:val="002B6F62"/>
    <w:rsid w:val="002B7195"/>
    <w:rsid w:val="002B74F3"/>
    <w:rsid w:val="002B764E"/>
    <w:rsid w:val="002B78E5"/>
    <w:rsid w:val="002B7A55"/>
    <w:rsid w:val="002B7AB0"/>
    <w:rsid w:val="002B7C40"/>
    <w:rsid w:val="002B7DDB"/>
    <w:rsid w:val="002C006A"/>
    <w:rsid w:val="002C0273"/>
    <w:rsid w:val="002C10E8"/>
    <w:rsid w:val="002C1268"/>
    <w:rsid w:val="002C14D5"/>
    <w:rsid w:val="002C1955"/>
    <w:rsid w:val="002C1C54"/>
    <w:rsid w:val="002C1C82"/>
    <w:rsid w:val="002C1FDB"/>
    <w:rsid w:val="002C2141"/>
    <w:rsid w:val="002C2211"/>
    <w:rsid w:val="002C2289"/>
    <w:rsid w:val="002C23E6"/>
    <w:rsid w:val="002C2A04"/>
    <w:rsid w:val="002C2A1A"/>
    <w:rsid w:val="002C2B87"/>
    <w:rsid w:val="002C2BD8"/>
    <w:rsid w:val="002C2C43"/>
    <w:rsid w:val="002C3167"/>
    <w:rsid w:val="002C33F4"/>
    <w:rsid w:val="002C3410"/>
    <w:rsid w:val="002C34C4"/>
    <w:rsid w:val="002C34F5"/>
    <w:rsid w:val="002C3C3F"/>
    <w:rsid w:val="002C3DAB"/>
    <w:rsid w:val="002C402E"/>
    <w:rsid w:val="002C40B6"/>
    <w:rsid w:val="002C4119"/>
    <w:rsid w:val="002C4315"/>
    <w:rsid w:val="002C45AA"/>
    <w:rsid w:val="002C4696"/>
    <w:rsid w:val="002C4702"/>
    <w:rsid w:val="002C485D"/>
    <w:rsid w:val="002C49A2"/>
    <w:rsid w:val="002C4CEC"/>
    <w:rsid w:val="002C4D0B"/>
    <w:rsid w:val="002C5188"/>
    <w:rsid w:val="002C5256"/>
    <w:rsid w:val="002C5495"/>
    <w:rsid w:val="002C573B"/>
    <w:rsid w:val="002C5A06"/>
    <w:rsid w:val="002C5B2A"/>
    <w:rsid w:val="002C5C3B"/>
    <w:rsid w:val="002C5E60"/>
    <w:rsid w:val="002C5F4F"/>
    <w:rsid w:val="002C6488"/>
    <w:rsid w:val="002C6795"/>
    <w:rsid w:val="002C6972"/>
    <w:rsid w:val="002C6D2C"/>
    <w:rsid w:val="002C6D9D"/>
    <w:rsid w:val="002C6EA3"/>
    <w:rsid w:val="002C7851"/>
    <w:rsid w:val="002C7D4E"/>
    <w:rsid w:val="002C7E2E"/>
    <w:rsid w:val="002D0371"/>
    <w:rsid w:val="002D04B2"/>
    <w:rsid w:val="002D0646"/>
    <w:rsid w:val="002D0B40"/>
    <w:rsid w:val="002D0CD4"/>
    <w:rsid w:val="002D0F15"/>
    <w:rsid w:val="002D0F23"/>
    <w:rsid w:val="002D14B8"/>
    <w:rsid w:val="002D1A9B"/>
    <w:rsid w:val="002D1CAF"/>
    <w:rsid w:val="002D1FD0"/>
    <w:rsid w:val="002D200A"/>
    <w:rsid w:val="002D2297"/>
    <w:rsid w:val="002D24A5"/>
    <w:rsid w:val="002D25C2"/>
    <w:rsid w:val="002D263B"/>
    <w:rsid w:val="002D284E"/>
    <w:rsid w:val="002D2937"/>
    <w:rsid w:val="002D2949"/>
    <w:rsid w:val="002D2B4A"/>
    <w:rsid w:val="002D2C70"/>
    <w:rsid w:val="002D376A"/>
    <w:rsid w:val="002D382F"/>
    <w:rsid w:val="002D39A7"/>
    <w:rsid w:val="002D3A85"/>
    <w:rsid w:val="002D4318"/>
    <w:rsid w:val="002D4867"/>
    <w:rsid w:val="002D4D90"/>
    <w:rsid w:val="002D5023"/>
    <w:rsid w:val="002D57D7"/>
    <w:rsid w:val="002D58B8"/>
    <w:rsid w:val="002D59AC"/>
    <w:rsid w:val="002D641F"/>
    <w:rsid w:val="002D656D"/>
    <w:rsid w:val="002D65B1"/>
    <w:rsid w:val="002D66E2"/>
    <w:rsid w:val="002D699C"/>
    <w:rsid w:val="002D69EC"/>
    <w:rsid w:val="002D6AC5"/>
    <w:rsid w:val="002D6CCA"/>
    <w:rsid w:val="002D6E11"/>
    <w:rsid w:val="002D7210"/>
    <w:rsid w:val="002D72D9"/>
    <w:rsid w:val="002D74AB"/>
    <w:rsid w:val="002D75C1"/>
    <w:rsid w:val="002D777F"/>
    <w:rsid w:val="002D794C"/>
    <w:rsid w:val="002D7DFD"/>
    <w:rsid w:val="002E04F9"/>
    <w:rsid w:val="002E0567"/>
    <w:rsid w:val="002E0736"/>
    <w:rsid w:val="002E0A88"/>
    <w:rsid w:val="002E1022"/>
    <w:rsid w:val="002E1369"/>
    <w:rsid w:val="002E1915"/>
    <w:rsid w:val="002E1927"/>
    <w:rsid w:val="002E1A42"/>
    <w:rsid w:val="002E1B9E"/>
    <w:rsid w:val="002E21E6"/>
    <w:rsid w:val="002E225C"/>
    <w:rsid w:val="002E236F"/>
    <w:rsid w:val="002E2805"/>
    <w:rsid w:val="002E2866"/>
    <w:rsid w:val="002E2D6D"/>
    <w:rsid w:val="002E2EBB"/>
    <w:rsid w:val="002E3043"/>
    <w:rsid w:val="002E33BF"/>
    <w:rsid w:val="002E3408"/>
    <w:rsid w:val="002E3715"/>
    <w:rsid w:val="002E383E"/>
    <w:rsid w:val="002E3A2F"/>
    <w:rsid w:val="002E3D0C"/>
    <w:rsid w:val="002E4017"/>
    <w:rsid w:val="002E43DD"/>
    <w:rsid w:val="002E4519"/>
    <w:rsid w:val="002E45A4"/>
    <w:rsid w:val="002E49B1"/>
    <w:rsid w:val="002E4A04"/>
    <w:rsid w:val="002E5806"/>
    <w:rsid w:val="002E5ECC"/>
    <w:rsid w:val="002E5F36"/>
    <w:rsid w:val="002E611E"/>
    <w:rsid w:val="002E63AD"/>
    <w:rsid w:val="002E6A7C"/>
    <w:rsid w:val="002E6BDD"/>
    <w:rsid w:val="002E6C6D"/>
    <w:rsid w:val="002E6DDE"/>
    <w:rsid w:val="002E7320"/>
    <w:rsid w:val="002E7378"/>
    <w:rsid w:val="002E7AD8"/>
    <w:rsid w:val="002E7B0B"/>
    <w:rsid w:val="002E7BA6"/>
    <w:rsid w:val="002E7C34"/>
    <w:rsid w:val="002E7EFF"/>
    <w:rsid w:val="002E7FA5"/>
    <w:rsid w:val="002F0153"/>
    <w:rsid w:val="002F0175"/>
    <w:rsid w:val="002F058D"/>
    <w:rsid w:val="002F0920"/>
    <w:rsid w:val="002F09FC"/>
    <w:rsid w:val="002F0E1A"/>
    <w:rsid w:val="002F12A1"/>
    <w:rsid w:val="002F1586"/>
    <w:rsid w:val="002F1590"/>
    <w:rsid w:val="002F16EA"/>
    <w:rsid w:val="002F16FC"/>
    <w:rsid w:val="002F1972"/>
    <w:rsid w:val="002F1B8D"/>
    <w:rsid w:val="002F1C19"/>
    <w:rsid w:val="002F2251"/>
    <w:rsid w:val="002F22C3"/>
    <w:rsid w:val="002F2476"/>
    <w:rsid w:val="002F26C9"/>
    <w:rsid w:val="002F283F"/>
    <w:rsid w:val="002F2857"/>
    <w:rsid w:val="002F2878"/>
    <w:rsid w:val="002F2C54"/>
    <w:rsid w:val="002F2F15"/>
    <w:rsid w:val="002F3217"/>
    <w:rsid w:val="002F378B"/>
    <w:rsid w:val="002F3907"/>
    <w:rsid w:val="002F3B78"/>
    <w:rsid w:val="002F447C"/>
    <w:rsid w:val="002F44B4"/>
    <w:rsid w:val="002F4B67"/>
    <w:rsid w:val="002F4C27"/>
    <w:rsid w:val="002F4DFE"/>
    <w:rsid w:val="002F4F0D"/>
    <w:rsid w:val="002F4FD9"/>
    <w:rsid w:val="002F52BD"/>
    <w:rsid w:val="002F55D1"/>
    <w:rsid w:val="002F5EBE"/>
    <w:rsid w:val="002F5FD3"/>
    <w:rsid w:val="002F61B6"/>
    <w:rsid w:val="002F638C"/>
    <w:rsid w:val="002F67D6"/>
    <w:rsid w:val="002F682C"/>
    <w:rsid w:val="002F6DEA"/>
    <w:rsid w:val="002F719C"/>
    <w:rsid w:val="002F77D4"/>
    <w:rsid w:val="002F7948"/>
    <w:rsid w:val="002F7CDE"/>
    <w:rsid w:val="002F7DE9"/>
    <w:rsid w:val="003001CC"/>
    <w:rsid w:val="00300287"/>
    <w:rsid w:val="003005D1"/>
    <w:rsid w:val="00300F22"/>
    <w:rsid w:val="00301251"/>
    <w:rsid w:val="00301372"/>
    <w:rsid w:val="00301732"/>
    <w:rsid w:val="003019A9"/>
    <w:rsid w:val="00301B6D"/>
    <w:rsid w:val="00301B8C"/>
    <w:rsid w:val="003021E8"/>
    <w:rsid w:val="00302296"/>
    <w:rsid w:val="00302311"/>
    <w:rsid w:val="003023E6"/>
    <w:rsid w:val="003029B1"/>
    <w:rsid w:val="00302A4A"/>
    <w:rsid w:val="0030304B"/>
    <w:rsid w:val="0030396E"/>
    <w:rsid w:val="00303E2A"/>
    <w:rsid w:val="00303E49"/>
    <w:rsid w:val="00303F07"/>
    <w:rsid w:val="00304317"/>
    <w:rsid w:val="00304930"/>
    <w:rsid w:val="00304A37"/>
    <w:rsid w:val="00304B6C"/>
    <w:rsid w:val="00304D1D"/>
    <w:rsid w:val="00304DF2"/>
    <w:rsid w:val="00305291"/>
    <w:rsid w:val="00305411"/>
    <w:rsid w:val="0030545B"/>
    <w:rsid w:val="00305631"/>
    <w:rsid w:val="00305F2E"/>
    <w:rsid w:val="00306140"/>
    <w:rsid w:val="0030651C"/>
    <w:rsid w:val="00306673"/>
    <w:rsid w:val="00306771"/>
    <w:rsid w:val="0030682E"/>
    <w:rsid w:val="00306CB3"/>
    <w:rsid w:val="00306ECB"/>
    <w:rsid w:val="00306EE5"/>
    <w:rsid w:val="00307046"/>
    <w:rsid w:val="0030716B"/>
    <w:rsid w:val="00307524"/>
    <w:rsid w:val="003078D1"/>
    <w:rsid w:val="00307B1D"/>
    <w:rsid w:val="00307B85"/>
    <w:rsid w:val="00307DB2"/>
    <w:rsid w:val="00307ECA"/>
    <w:rsid w:val="00310353"/>
    <w:rsid w:val="003107B3"/>
    <w:rsid w:val="00310896"/>
    <w:rsid w:val="00310964"/>
    <w:rsid w:val="0031106A"/>
    <w:rsid w:val="003110F2"/>
    <w:rsid w:val="00311558"/>
    <w:rsid w:val="0031167E"/>
    <w:rsid w:val="00311717"/>
    <w:rsid w:val="0031193F"/>
    <w:rsid w:val="00311ACD"/>
    <w:rsid w:val="00311B8D"/>
    <w:rsid w:val="00311D79"/>
    <w:rsid w:val="00311E82"/>
    <w:rsid w:val="00311FEF"/>
    <w:rsid w:val="003125F1"/>
    <w:rsid w:val="0031290F"/>
    <w:rsid w:val="00312A50"/>
    <w:rsid w:val="00312D0F"/>
    <w:rsid w:val="00312EFD"/>
    <w:rsid w:val="0031330F"/>
    <w:rsid w:val="0031359C"/>
    <w:rsid w:val="0031371D"/>
    <w:rsid w:val="00313884"/>
    <w:rsid w:val="003138F8"/>
    <w:rsid w:val="0031397D"/>
    <w:rsid w:val="00313BE4"/>
    <w:rsid w:val="00313CC9"/>
    <w:rsid w:val="00313E66"/>
    <w:rsid w:val="003140D6"/>
    <w:rsid w:val="0031423F"/>
    <w:rsid w:val="0031447D"/>
    <w:rsid w:val="003145BA"/>
    <w:rsid w:val="00314935"/>
    <w:rsid w:val="0031496B"/>
    <w:rsid w:val="00314986"/>
    <w:rsid w:val="00314B6E"/>
    <w:rsid w:val="00314B8B"/>
    <w:rsid w:val="00314DE5"/>
    <w:rsid w:val="00314EC8"/>
    <w:rsid w:val="003152E7"/>
    <w:rsid w:val="003152F8"/>
    <w:rsid w:val="003155D9"/>
    <w:rsid w:val="0031562D"/>
    <w:rsid w:val="00315EF8"/>
    <w:rsid w:val="003169E1"/>
    <w:rsid w:val="00316C92"/>
    <w:rsid w:val="00316EB8"/>
    <w:rsid w:val="003170E1"/>
    <w:rsid w:val="003174EE"/>
    <w:rsid w:val="003177D5"/>
    <w:rsid w:val="00317AE9"/>
    <w:rsid w:val="00317C0B"/>
    <w:rsid w:val="00317E7B"/>
    <w:rsid w:val="00317F3F"/>
    <w:rsid w:val="0032029B"/>
    <w:rsid w:val="0032040D"/>
    <w:rsid w:val="00320636"/>
    <w:rsid w:val="00320C8C"/>
    <w:rsid w:val="003212F8"/>
    <w:rsid w:val="003213BF"/>
    <w:rsid w:val="00321560"/>
    <w:rsid w:val="0032164A"/>
    <w:rsid w:val="0032166F"/>
    <w:rsid w:val="00321A9E"/>
    <w:rsid w:val="00321AA6"/>
    <w:rsid w:val="00321B25"/>
    <w:rsid w:val="00322484"/>
    <w:rsid w:val="0032264E"/>
    <w:rsid w:val="003227EF"/>
    <w:rsid w:val="003228B2"/>
    <w:rsid w:val="00322B57"/>
    <w:rsid w:val="00322DD0"/>
    <w:rsid w:val="00322E12"/>
    <w:rsid w:val="003231CA"/>
    <w:rsid w:val="00323C7D"/>
    <w:rsid w:val="00323D3D"/>
    <w:rsid w:val="00323D71"/>
    <w:rsid w:val="00323F10"/>
    <w:rsid w:val="00324266"/>
    <w:rsid w:val="00324736"/>
    <w:rsid w:val="003248BF"/>
    <w:rsid w:val="003249ED"/>
    <w:rsid w:val="003249EE"/>
    <w:rsid w:val="00324B1F"/>
    <w:rsid w:val="0032533F"/>
    <w:rsid w:val="003255BC"/>
    <w:rsid w:val="0032570F"/>
    <w:rsid w:val="003259DC"/>
    <w:rsid w:val="00325AF5"/>
    <w:rsid w:val="00325B9D"/>
    <w:rsid w:val="00325C05"/>
    <w:rsid w:val="003260B7"/>
    <w:rsid w:val="0032642E"/>
    <w:rsid w:val="0032672B"/>
    <w:rsid w:val="00326C83"/>
    <w:rsid w:val="00326F13"/>
    <w:rsid w:val="0032751B"/>
    <w:rsid w:val="0032780E"/>
    <w:rsid w:val="00327981"/>
    <w:rsid w:val="00327C4E"/>
    <w:rsid w:val="00327DFE"/>
    <w:rsid w:val="00327E72"/>
    <w:rsid w:val="003300A6"/>
    <w:rsid w:val="0033080F"/>
    <w:rsid w:val="003309EF"/>
    <w:rsid w:val="00330AA6"/>
    <w:rsid w:val="0033109A"/>
    <w:rsid w:val="00331384"/>
    <w:rsid w:val="0033147B"/>
    <w:rsid w:val="003314AB"/>
    <w:rsid w:val="00331500"/>
    <w:rsid w:val="00331726"/>
    <w:rsid w:val="00331C24"/>
    <w:rsid w:val="00331FC3"/>
    <w:rsid w:val="003320F2"/>
    <w:rsid w:val="00332714"/>
    <w:rsid w:val="00332AF8"/>
    <w:rsid w:val="00332D3A"/>
    <w:rsid w:val="00332E25"/>
    <w:rsid w:val="00333067"/>
    <w:rsid w:val="0033312D"/>
    <w:rsid w:val="0033339E"/>
    <w:rsid w:val="00333413"/>
    <w:rsid w:val="00333578"/>
    <w:rsid w:val="003338AC"/>
    <w:rsid w:val="00333A8A"/>
    <w:rsid w:val="00333C68"/>
    <w:rsid w:val="00333EE3"/>
    <w:rsid w:val="003342E1"/>
    <w:rsid w:val="00334588"/>
    <w:rsid w:val="00334589"/>
    <w:rsid w:val="0033459A"/>
    <w:rsid w:val="0033492F"/>
    <w:rsid w:val="00334A26"/>
    <w:rsid w:val="00334E50"/>
    <w:rsid w:val="0033523E"/>
    <w:rsid w:val="003352FE"/>
    <w:rsid w:val="00335469"/>
    <w:rsid w:val="00335528"/>
    <w:rsid w:val="00335EB5"/>
    <w:rsid w:val="0033602F"/>
    <w:rsid w:val="003362DE"/>
    <w:rsid w:val="00336936"/>
    <w:rsid w:val="00336E58"/>
    <w:rsid w:val="003372D8"/>
    <w:rsid w:val="0033763F"/>
    <w:rsid w:val="00337B11"/>
    <w:rsid w:val="00337BD4"/>
    <w:rsid w:val="00337D3A"/>
    <w:rsid w:val="00340425"/>
    <w:rsid w:val="00340651"/>
    <w:rsid w:val="0034091F"/>
    <w:rsid w:val="00340925"/>
    <w:rsid w:val="00340A96"/>
    <w:rsid w:val="003415C9"/>
    <w:rsid w:val="0034187D"/>
    <w:rsid w:val="00341B57"/>
    <w:rsid w:val="00341E47"/>
    <w:rsid w:val="00342249"/>
    <w:rsid w:val="00342382"/>
    <w:rsid w:val="003428C9"/>
    <w:rsid w:val="003429CE"/>
    <w:rsid w:val="00342C83"/>
    <w:rsid w:val="00342E11"/>
    <w:rsid w:val="00342ED0"/>
    <w:rsid w:val="00342EDB"/>
    <w:rsid w:val="00342F6B"/>
    <w:rsid w:val="00343313"/>
    <w:rsid w:val="003436AF"/>
    <w:rsid w:val="0034370E"/>
    <w:rsid w:val="0034380B"/>
    <w:rsid w:val="00343AAD"/>
    <w:rsid w:val="00343B0D"/>
    <w:rsid w:val="00343B51"/>
    <w:rsid w:val="00343B8A"/>
    <w:rsid w:val="00343C55"/>
    <w:rsid w:val="00343C6F"/>
    <w:rsid w:val="00343D9D"/>
    <w:rsid w:val="00343F96"/>
    <w:rsid w:val="0034437E"/>
    <w:rsid w:val="003443D4"/>
    <w:rsid w:val="00344460"/>
    <w:rsid w:val="003447FB"/>
    <w:rsid w:val="00344CDB"/>
    <w:rsid w:val="00344CFE"/>
    <w:rsid w:val="003451FE"/>
    <w:rsid w:val="003452F8"/>
    <w:rsid w:val="0034537D"/>
    <w:rsid w:val="003453B1"/>
    <w:rsid w:val="0034542E"/>
    <w:rsid w:val="00345818"/>
    <w:rsid w:val="00345AD5"/>
    <w:rsid w:val="00345F88"/>
    <w:rsid w:val="003466C1"/>
    <w:rsid w:val="00346C31"/>
    <w:rsid w:val="00346E42"/>
    <w:rsid w:val="00347232"/>
    <w:rsid w:val="0034741A"/>
    <w:rsid w:val="0034765D"/>
    <w:rsid w:val="003478A8"/>
    <w:rsid w:val="00347B12"/>
    <w:rsid w:val="00347C20"/>
    <w:rsid w:val="00347D5B"/>
    <w:rsid w:val="00350023"/>
    <w:rsid w:val="0035009E"/>
    <w:rsid w:val="0035026F"/>
    <w:rsid w:val="0035027A"/>
    <w:rsid w:val="0035047C"/>
    <w:rsid w:val="0035097D"/>
    <w:rsid w:val="00350D68"/>
    <w:rsid w:val="00350E0E"/>
    <w:rsid w:val="00350E83"/>
    <w:rsid w:val="00350EA4"/>
    <w:rsid w:val="00351643"/>
    <w:rsid w:val="003517CA"/>
    <w:rsid w:val="003518D0"/>
    <w:rsid w:val="00351B98"/>
    <w:rsid w:val="00351E75"/>
    <w:rsid w:val="00352163"/>
    <w:rsid w:val="00352333"/>
    <w:rsid w:val="0035245F"/>
    <w:rsid w:val="00352793"/>
    <w:rsid w:val="003527C6"/>
    <w:rsid w:val="003527C8"/>
    <w:rsid w:val="003528FA"/>
    <w:rsid w:val="00352AD0"/>
    <w:rsid w:val="00352B95"/>
    <w:rsid w:val="00352BBC"/>
    <w:rsid w:val="00352F60"/>
    <w:rsid w:val="00353358"/>
    <w:rsid w:val="0035365B"/>
    <w:rsid w:val="003537AB"/>
    <w:rsid w:val="003539CC"/>
    <w:rsid w:val="00353A4A"/>
    <w:rsid w:val="00353ACD"/>
    <w:rsid w:val="00353FDB"/>
    <w:rsid w:val="00354466"/>
    <w:rsid w:val="0035447E"/>
    <w:rsid w:val="003545BA"/>
    <w:rsid w:val="00354A52"/>
    <w:rsid w:val="00354B41"/>
    <w:rsid w:val="00354D2C"/>
    <w:rsid w:val="0035501C"/>
    <w:rsid w:val="0035517E"/>
    <w:rsid w:val="0035532C"/>
    <w:rsid w:val="0035568C"/>
    <w:rsid w:val="003557AD"/>
    <w:rsid w:val="00355B66"/>
    <w:rsid w:val="00355B7F"/>
    <w:rsid w:val="00355CA4"/>
    <w:rsid w:val="003570F2"/>
    <w:rsid w:val="00357287"/>
    <w:rsid w:val="00357392"/>
    <w:rsid w:val="0035775F"/>
    <w:rsid w:val="00357A0A"/>
    <w:rsid w:val="00360220"/>
    <w:rsid w:val="00360266"/>
    <w:rsid w:val="0036026B"/>
    <w:rsid w:val="00360319"/>
    <w:rsid w:val="0036032E"/>
    <w:rsid w:val="0036034B"/>
    <w:rsid w:val="00360377"/>
    <w:rsid w:val="0036054C"/>
    <w:rsid w:val="003605A9"/>
    <w:rsid w:val="003605C4"/>
    <w:rsid w:val="0036067F"/>
    <w:rsid w:val="003606C5"/>
    <w:rsid w:val="00360992"/>
    <w:rsid w:val="00360994"/>
    <w:rsid w:val="003609D4"/>
    <w:rsid w:val="00360A3E"/>
    <w:rsid w:val="00360D1F"/>
    <w:rsid w:val="00360DBD"/>
    <w:rsid w:val="0036114B"/>
    <w:rsid w:val="003615CE"/>
    <w:rsid w:val="00361A8E"/>
    <w:rsid w:val="00361E65"/>
    <w:rsid w:val="0036217A"/>
    <w:rsid w:val="003622AE"/>
    <w:rsid w:val="00362361"/>
    <w:rsid w:val="00362966"/>
    <w:rsid w:val="00362975"/>
    <w:rsid w:val="003629BC"/>
    <w:rsid w:val="00362ADC"/>
    <w:rsid w:val="00362F1B"/>
    <w:rsid w:val="00362FA9"/>
    <w:rsid w:val="00363319"/>
    <w:rsid w:val="003635FD"/>
    <w:rsid w:val="00363887"/>
    <w:rsid w:val="0036397D"/>
    <w:rsid w:val="00363FB4"/>
    <w:rsid w:val="003643CB"/>
    <w:rsid w:val="0036445D"/>
    <w:rsid w:val="0036449D"/>
    <w:rsid w:val="003645B5"/>
    <w:rsid w:val="003645D6"/>
    <w:rsid w:val="003649C9"/>
    <w:rsid w:val="00365001"/>
    <w:rsid w:val="00365051"/>
    <w:rsid w:val="0036510A"/>
    <w:rsid w:val="00365705"/>
    <w:rsid w:val="00365A85"/>
    <w:rsid w:val="00365A99"/>
    <w:rsid w:val="00365B07"/>
    <w:rsid w:val="0036610D"/>
    <w:rsid w:val="0036619A"/>
    <w:rsid w:val="003663F8"/>
    <w:rsid w:val="00366591"/>
    <w:rsid w:val="003668FC"/>
    <w:rsid w:val="00366F78"/>
    <w:rsid w:val="00366F87"/>
    <w:rsid w:val="0036764F"/>
    <w:rsid w:val="00367713"/>
    <w:rsid w:val="00367DF1"/>
    <w:rsid w:val="00367EA8"/>
    <w:rsid w:val="0037080D"/>
    <w:rsid w:val="00370A81"/>
    <w:rsid w:val="00370CC3"/>
    <w:rsid w:val="00370FA6"/>
    <w:rsid w:val="003714E1"/>
    <w:rsid w:val="00371635"/>
    <w:rsid w:val="00371C9A"/>
    <w:rsid w:val="00371DFA"/>
    <w:rsid w:val="00371EB9"/>
    <w:rsid w:val="0037242F"/>
    <w:rsid w:val="003724A7"/>
    <w:rsid w:val="0037282B"/>
    <w:rsid w:val="00372F57"/>
    <w:rsid w:val="00373293"/>
    <w:rsid w:val="00373408"/>
    <w:rsid w:val="00373419"/>
    <w:rsid w:val="00373750"/>
    <w:rsid w:val="00373A05"/>
    <w:rsid w:val="00373A37"/>
    <w:rsid w:val="00373FE7"/>
    <w:rsid w:val="003741B9"/>
    <w:rsid w:val="00374315"/>
    <w:rsid w:val="00374461"/>
    <w:rsid w:val="0037448A"/>
    <w:rsid w:val="003747DC"/>
    <w:rsid w:val="00374F0E"/>
    <w:rsid w:val="00375479"/>
    <w:rsid w:val="00375488"/>
    <w:rsid w:val="003756F2"/>
    <w:rsid w:val="00375763"/>
    <w:rsid w:val="003757C8"/>
    <w:rsid w:val="00375B14"/>
    <w:rsid w:val="00375F67"/>
    <w:rsid w:val="00376014"/>
    <w:rsid w:val="00376A95"/>
    <w:rsid w:val="00376B20"/>
    <w:rsid w:val="00376C43"/>
    <w:rsid w:val="00376F89"/>
    <w:rsid w:val="0037722B"/>
    <w:rsid w:val="00377359"/>
    <w:rsid w:val="00377429"/>
    <w:rsid w:val="0037748A"/>
    <w:rsid w:val="00377A60"/>
    <w:rsid w:val="00377E6C"/>
    <w:rsid w:val="003800EF"/>
    <w:rsid w:val="00380734"/>
    <w:rsid w:val="00380ACF"/>
    <w:rsid w:val="00380BA7"/>
    <w:rsid w:val="00380CBE"/>
    <w:rsid w:val="00380F84"/>
    <w:rsid w:val="00381106"/>
    <w:rsid w:val="00381260"/>
    <w:rsid w:val="0038178A"/>
    <w:rsid w:val="00382621"/>
    <w:rsid w:val="003828C5"/>
    <w:rsid w:val="00382EF7"/>
    <w:rsid w:val="003830E1"/>
    <w:rsid w:val="0038398F"/>
    <w:rsid w:val="003839A6"/>
    <w:rsid w:val="00383D49"/>
    <w:rsid w:val="00384014"/>
    <w:rsid w:val="003846BF"/>
    <w:rsid w:val="00384AE3"/>
    <w:rsid w:val="00384D96"/>
    <w:rsid w:val="00384EEF"/>
    <w:rsid w:val="00385105"/>
    <w:rsid w:val="00385259"/>
    <w:rsid w:val="003853C7"/>
    <w:rsid w:val="00385749"/>
    <w:rsid w:val="003859C2"/>
    <w:rsid w:val="00385D27"/>
    <w:rsid w:val="003863A8"/>
    <w:rsid w:val="0038640D"/>
    <w:rsid w:val="0038651D"/>
    <w:rsid w:val="003867BB"/>
    <w:rsid w:val="003868A6"/>
    <w:rsid w:val="00386C3F"/>
    <w:rsid w:val="00386D3D"/>
    <w:rsid w:val="00386E34"/>
    <w:rsid w:val="00386EB0"/>
    <w:rsid w:val="00386EB1"/>
    <w:rsid w:val="003874C3"/>
    <w:rsid w:val="003875A6"/>
    <w:rsid w:val="00387A15"/>
    <w:rsid w:val="00387AC7"/>
    <w:rsid w:val="00387D64"/>
    <w:rsid w:val="00387E0C"/>
    <w:rsid w:val="00390BCB"/>
    <w:rsid w:val="00390D4A"/>
    <w:rsid w:val="00390FE2"/>
    <w:rsid w:val="00391088"/>
    <w:rsid w:val="003912DF"/>
    <w:rsid w:val="00391360"/>
    <w:rsid w:val="00391408"/>
    <w:rsid w:val="00391497"/>
    <w:rsid w:val="0039152C"/>
    <w:rsid w:val="0039164B"/>
    <w:rsid w:val="003919A9"/>
    <w:rsid w:val="00391A4A"/>
    <w:rsid w:val="00391F88"/>
    <w:rsid w:val="003926D7"/>
    <w:rsid w:val="0039283F"/>
    <w:rsid w:val="0039295B"/>
    <w:rsid w:val="00392D87"/>
    <w:rsid w:val="00392DE4"/>
    <w:rsid w:val="00392F3B"/>
    <w:rsid w:val="00393538"/>
    <w:rsid w:val="00393C6B"/>
    <w:rsid w:val="00393DD2"/>
    <w:rsid w:val="00393DE2"/>
    <w:rsid w:val="00393EEC"/>
    <w:rsid w:val="00394284"/>
    <w:rsid w:val="003945B9"/>
    <w:rsid w:val="003947A4"/>
    <w:rsid w:val="003948A2"/>
    <w:rsid w:val="00394D4C"/>
    <w:rsid w:val="00394DDA"/>
    <w:rsid w:val="00395056"/>
    <w:rsid w:val="003953EF"/>
    <w:rsid w:val="0039542C"/>
    <w:rsid w:val="0039546E"/>
    <w:rsid w:val="0039554B"/>
    <w:rsid w:val="00395A77"/>
    <w:rsid w:val="00395ACA"/>
    <w:rsid w:val="00395D85"/>
    <w:rsid w:val="00396A5D"/>
    <w:rsid w:val="00396D04"/>
    <w:rsid w:val="003971FE"/>
    <w:rsid w:val="003974C3"/>
    <w:rsid w:val="00397692"/>
    <w:rsid w:val="00397A11"/>
    <w:rsid w:val="00397D54"/>
    <w:rsid w:val="00397D9D"/>
    <w:rsid w:val="003A0006"/>
    <w:rsid w:val="003A0136"/>
    <w:rsid w:val="003A022E"/>
    <w:rsid w:val="003A055E"/>
    <w:rsid w:val="003A0643"/>
    <w:rsid w:val="003A07C4"/>
    <w:rsid w:val="003A07CC"/>
    <w:rsid w:val="003A098C"/>
    <w:rsid w:val="003A1010"/>
    <w:rsid w:val="003A1068"/>
    <w:rsid w:val="003A115D"/>
    <w:rsid w:val="003A1B84"/>
    <w:rsid w:val="003A240A"/>
    <w:rsid w:val="003A2802"/>
    <w:rsid w:val="003A2D17"/>
    <w:rsid w:val="003A3583"/>
    <w:rsid w:val="003A3710"/>
    <w:rsid w:val="003A418F"/>
    <w:rsid w:val="003A44BA"/>
    <w:rsid w:val="003A45E6"/>
    <w:rsid w:val="003A4671"/>
    <w:rsid w:val="003A4999"/>
    <w:rsid w:val="003A49B6"/>
    <w:rsid w:val="003A4A7A"/>
    <w:rsid w:val="003A506B"/>
    <w:rsid w:val="003A518A"/>
    <w:rsid w:val="003A54D5"/>
    <w:rsid w:val="003A5957"/>
    <w:rsid w:val="003A5F9D"/>
    <w:rsid w:val="003A62F2"/>
    <w:rsid w:val="003A679B"/>
    <w:rsid w:val="003A68CA"/>
    <w:rsid w:val="003A68FB"/>
    <w:rsid w:val="003A6B0B"/>
    <w:rsid w:val="003A6C76"/>
    <w:rsid w:val="003A6D15"/>
    <w:rsid w:val="003A7422"/>
    <w:rsid w:val="003A74C6"/>
    <w:rsid w:val="003A74DE"/>
    <w:rsid w:val="003A758F"/>
    <w:rsid w:val="003A75A9"/>
    <w:rsid w:val="003A7DC0"/>
    <w:rsid w:val="003B0074"/>
    <w:rsid w:val="003B009E"/>
    <w:rsid w:val="003B022E"/>
    <w:rsid w:val="003B0349"/>
    <w:rsid w:val="003B059D"/>
    <w:rsid w:val="003B05E2"/>
    <w:rsid w:val="003B09C6"/>
    <w:rsid w:val="003B0CC4"/>
    <w:rsid w:val="003B0EDA"/>
    <w:rsid w:val="003B1072"/>
    <w:rsid w:val="003B1146"/>
    <w:rsid w:val="003B114F"/>
    <w:rsid w:val="003B1741"/>
    <w:rsid w:val="003B1897"/>
    <w:rsid w:val="003B1B1C"/>
    <w:rsid w:val="003B1C97"/>
    <w:rsid w:val="003B1E1D"/>
    <w:rsid w:val="003B234A"/>
    <w:rsid w:val="003B23AA"/>
    <w:rsid w:val="003B2502"/>
    <w:rsid w:val="003B25CD"/>
    <w:rsid w:val="003B2BDB"/>
    <w:rsid w:val="003B2D10"/>
    <w:rsid w:val="003B2FCE"/>
    <w:rsid w:val="003B30F0"/>
    <w:rsid w:val="003B3358"/>
    <w:rsid w:val="003B3372"/>
    <w:rsid w:val="003B33D0"/>
    <w:rsid w:val="003B348C"/>
    <w:rsid w:val="003B3557"/>
    <w:rsid w:val="003B362F"/>
    <w:rsid w:val="003B36F7"/>
    <w:rsid w:val="003B376E"/>
    <w:rsid w:val="003B37C6"/>
    <w:rsid w:val="003B3D7B"/>
    <w:rsid w:val="003B3DA1"/>
    <w:rsid w:val="003B42E0"/>
    <w:rsid w:val="003B434F"/>
    <w:rsid w:val="003B471D"/>
    <w:rsid w:val="003B4FEA"/>
    <w:rsid w:val="003B50D0"/>
    <w:rsid w:val="003B5903"/>
    <w:rsid w:val="003B5B85"/>
    <w:rsid w:val="003B5E10"/>
    <w:rsid w:val="003B5EEB"/>
    <w:rsid w:val="003B5F3E"/>
    <w:rsid w:val="003B611B"/>
    <w:rsid w:val="003B6578"/>
    <w:rsid w:val="003B690A"/>
    <w:rsid w:val="003B6935"/>
    <w:rsid w:val="003B6DC0"/>
    <w:rsid w:val="003B7306"/>
    <w:rsid w:val="003B73AF"/>
    <w:rsid w:val="003B7417"/>
    <w:rsid w:val="003B77F3"/>
    <w:rsid w:val="003B79AA"/>
    <w:rsid w:val="003B7DA7"/>
    <w:rsid w:val="003B7F0A"/>
    <w:rsid w:val="003C0104"/>
    <w:rsid w:val="003C020A"/>
    <w:rsid w:val="003C0471"/>
    <w:rsid w:val="003C0B0D"/>
    <w:rsid w:val="003C0D1E"/>
    <w:rsid w:val="003C0D7E"/>
    <w:rsid w:val="003C1719"/>
    <w:rsid w:val="003C1A4E"/>
    <w:rsid w:val="003C1E90"/>
    <w:rsid w:val="003C24ED"/>
    <w:rsid w:val="003C2535"/>
    <w:rsid w:val="003C26F0"/>
    <w:rsid w:val="003C2775"/>
    <w:rsid w:val="003C28DB"/>
    <w:rsid w:val="003C291F"/>
    <w:rsid w:val="003C2BD8"/>
    <w:rsid w:val="003C2CFA"/>
    <w:rsid w:val="003C2D3C"/>
    <w:rsid w:val="003C3146"/>
    <w:rsid w:val="003C32A0"/>
    <w:rsid w:val="003C3407"/>
    <w:rsid w:val="003C366B"/>
    <w:rsid w:val="003C3756"/>
    <w:rsid w:val="003C39AC"/>
    <w:rsid w:val="003C39FC"/>
    <w:rsid w:val="003C3A05"/>
    <w:rsid w:val="003C3B17"/>
    <w:rsid w:val="003C3B5F"/>
    <w:rsid w:val="003C3DE4"/>
    <w:rsid w:val="003C41E3"/>
    <w:rsid w:val="003C43C9"/>
    <w:rsid w:val="003C4608"/>
    <w:rsid w:val="003C573F"/>
    <w:rsid w:val="003C5AD0"/>
    <w:rsid w:val="003C5C74"/>
    <w:rsid w:val="003C5DEE"/>
    <w:rsid w:val="003C5F57"/>
    <w:rsid w:val="003C6168"/>
    <w:rsid w:val="003C6282"/>
    <w:rsid w:val="003C6476"/>
    <w:rsid w:val="003C6680"/>
    <w:rsid w:val="003C6824"/>
    <w:rsid w:val="003C6860"/>
    <w:rsid w:val="003C69A5"/>
    <w:rsid w:val="003C75C2"/>
    <w:rsid w:val="003C7842"/>
    <w:rsid w:val="003C7D12"/>
    <w:rsid w:val="003D002A"/>
    <w:rsid w:val="003D03C6"/>
    <w:rsid w:val="003D098B"/>
    <w:rsid w:val="003D140A"/>
    <w:rsid w:val="003D14D6"/>
    <w:rsid w:val="003D155D"/>
    <w:rsid w:val="003D191B"/>
    <w:rsid w:val="003D1A60"/>
    <w:rsid w:val="003D1EA9"/>
    <w:rsid w:val="003D1EBB"/>
    <w:rsid w:val="003D22B7"/>
    <w:rsid w:val="003D26E5"/>
    <w:rsid w:val="003D279A"/>
    <w:rsid w:val="003D2818"/>
    <w:rsid w:val="003D2BA6"/>
    <w:rsid w:val="003D2D8F"/>
    <w:rsid w:val="003D2F99"/>
    <w:rsid w:val="003D318B"/>
    <w:rsid w:val="003D335A"/>
    <w:rsid w:val="003D3486"/>
    <w:rsid w:val="003D34C0"/>
    <w:rsid w:val="003D3761"/>
    <w:rsid w:val="003D3C31"/>
    <w:rsid w:val="003D3CB5"/>
    <w:rsid w:val="003D3EA1"/>
    <w:rsid w:val="003D3F2B"/>
    <w:rsid w:val="003D4690"/>
    <w:rsid w:val="003D472E"/>
    <w:rsid w:val="003D4AD9"/>
    <w:rsid w:val="003D57D5"/>
    <w:rsid w:val="003D5A97"/>
    <w:rsid w:val="003D5D4B"/>
    <w:rsid w:val="003D60AE"/>
    <w:rsid w:val="003D60DF"/>
    <w:rsid w:val="003D615E"/>
    <w:rsid w:val="003D61D4"/>
    <w:rsid w:val="003D6285"/>
    <w:rsid w:val="003D6433"/>
    <w:rsid w:val="003D645D"/>
    <w:rsid w:val="003D654E"/>
    <w:rsid w:val="003D67B6"/>
    <w:rsid w:val="003D6F6C"/>
    <w:rsid w:val="003D6F88"/>
    <w:rsid w:val="003D73B9"/>
    <w:rsid w:val="003D74DF"/>
    <w:rsid w:val="003D7520"/>
    <w:rsid w:val="003D7713"/>
    <w:rsid w:val="003D7AA1"/>
    <w:rsid w:val="003D7E0A"/>
    <w:rsid w:val="003D7F7A"/>
    <w:rsid w:val="003E0018"/>
    <w:rsid w:val="003E016E"/>
    <w:rsid w:val="003E0723"/>
    <w:rsid w:val="003E09D8"/>
    <w:rsid w:val="003E126F"/>
    <w:rsid w:val="003E131F"/>
    <w:rsid w:val="003E1805"/>
    <w:rsid w:val="003E186C"/>
    <w:rsid w:val="003E1941"/>
    <w:rsid w:val="003E1CBD"/>
    <w:rsid w:val="003E1FD8"/>
    <w:rsid w:val="003E20CF"/>
    <w:rsid w:val="003E217E"/>
    <w:rsid w:val="003E219B"/>
    <w:rsid w:val="003E241F"/>
    <w:rsid w:val="003E2725"/>
    <w:rsid w:val="003E2A73"/>
    <w:rsid w:val="003E2ED0"/>
    <w:rsid w:val="003E2F35"/>
    <w:rsid w:val="003E2F36"/>
    <w:rsid w:val="003E31AB"/>
    <w:rsid w:val="003E3453"/>
    <w:rsid w:val="003E3CEE"/>
    <w:rsid w:val="003E40E1"/>
    <w:rsid w:val="003E42EA"/>
    <w:rsid w:val="003E441A"/>
    <w:rsid w:val="003E4D32"/>
    <w:rsid w:val="003E4D38"/>
    <w:rsid w:val="003E5176"/>
    <w:rsid w:val="003E5371"/>
    <w:rsid w:val="003E5489"/>
    <w:rsid w:val="003E57F4"/>
    <w:rsid w:val="003E588F"/>
    <w:rsid w:val="003E5892"/>
    <w:rsid w:val="003E59C7"/>
    <w:rsid w:val="003E643A"/>
    <w:rsid w:val="003E6EBE"/>
    <w:rsid w:val="003E7197"/>
    <w:rsid w:val="003E7328"/>
    <w:rsid w:val="003E73DF"/>
    <w:rsid w:val="003E7518"/>
    <w:rsid w:val="003E77FC"/>
    <w:rsid w:val="003E79BB"/>
    <w:rsid w:val="003E79DF"/>
    <w:rsid w:val="003E7A1F"/>
    <w:rsid w:val="003E7B80"/>
    <w:rsid w:val="003E7B8A"/>
    <w:rsid w:val="003F03D8"/>
    <w:rsid w:val="003F0598"/>
    <w:rsid w:val="003F05F7"/>
    <w:rsid w:val="003F078D"/>
    <w:rsid w:val="003F0869"/>
    <w:rsid w:val="003F089D"/>
    <w:rsid w:val="003F0B91"/>
    <w:rsid w:val="003F0EBF"/>
    <w:rsid w:val="003F18A2"/>
    <w:rsid w:val="003F1D1B"/>
    <w:rsid w:val="003F23B1"/>
    <w:rsid w:val="003F23EB"/>
    <w:rsid w:val="003F242C"/>
    <w:rsid w:val="003F262A"/>
    <w:rsid w:val="003F2799"/>
    <w:rsid w:val="003F29CF"/>
    <w:rsid w:val="003F29E5"/>
    <w:rsid w:val="003F38B8"/>
    <w:rsid w:val="003F3D7D"/>
    <w:rsid w:val="003F3DCF"/>
    <w:rsid w:val="003F40B8"/>
    <w:rsid w:val="003F42C9"/>
    <w:rsid w:val="003F52C0"/>
    <w:rsid w:val="003F56BC"/>
    <w:rsid w:val="003F59D6"/>
    <w:rsid w:val="003F5E1B"/>
    <w:rsid w:val="003F616D"/>
    <w:rsid w:val="003F619C"/>
    <w:rsid w:val="003F624B"/>
    <w:rsid w:val="003F63FC"/>
    <w:rsid w:val="003F66F0"/>
    <w:rsid w:val="003F6970"/>
    <w:rsid w:val="003F6DEE"/>
    <w:rsid w:val="003F6E78"/>
    <w:rsid w:val="003F6E8B"/>
    <w:rsid w:val="003F6FD4"/>
    <w:rsid w:val="003F76C2"/>
    <w:rsid w:val="003F77B4"/>
    <w:rsid w:val="003F78CF"/>
    <w:rsid w:val="003F7A6A"/>
    <w:rsid w:val="003F7AB4"/>
    <w:rsid w:val="003F7BE7"/>
    <w:rsid w:val="003F7D1C"/>
    <w:rsid w:val="003F7FB4"/>
    <w:rsid w:val="004004D5"/>
    <w:rsid w:val="004007F0"/>
    <w:rsid w:val="00400C8A"/>
    <w:rsid w:val="00400F6C"/>
    <w:rsid w:val="00401538"/>
    <w:rsid w:val="00401769"/>
    <w:rsid w:val="00401896"/>
    <w:rsid w:val="00401A10"/>
    <w:rsid w:val="00401AAF"/>
    <w:rsid w:val="00402036"/>
    <w:rsid w:val="004024C9"/>
    <w:rsid w:val="004027F2"/>
    <w:rsid w:val="004029E5"/>
    <w:rsid w:val="00402AB4"/>
    <w:rsid w:val="00402C89"/>
    <w:rsid w:val="00403481"/>
    <w:rsid w:val="004034D8"/>
    <w:rsid w:val="004035EE"/>
    <w:rsid w:val="00403699"/>
    <w:rsid w:val="0040370C"/>
    <w:rsid w:val="00403721"/>
    <w:rsid w:val="00403B72"/>
    <w:rsid w:val="00403F3A"/>
    <w:rsid w:val="004042EF"/>
    <w:rsid w:val="004042F7"/>
    <w:rsid w:val="0040459F"/>
    <w:rsid w:val="0040487A"/>
    <w:rsid w:val="00404A30"/>
    <w:rsid w:val="00404F65"/>
    <w:rsid w:val="004051FB"/>
    <w:rsid w:val="004058BB"/>
    <w:rsid w:val="00405A40"/>
    <w:rsid w:val="00405AEC"/>
    <w:rsid w:val="00405CB0"/>
    <w:rsid w:val="00405F45"/>
    <w:rsid w:val="00406005"/>
    <w:rsid w:val="0040612F"/>
    <w:rsid w:val="004062AE"/>
    <w:rsid w:val="004063DE"/>
    <w:rsid w:val="004063E0"/>
    <w:rsid w:val="0040644B"/>
    <w:rsid w:val="004066FF"/>
    <w:rsid w:val="00406AB6"/>
    <w:rsid w:val="00406D5B"/>
    <w:rsid w:val="00407FD9"/>
    <w:rsid w:val="004105C9"/>
    <w:rsid w:val="004106EF"/>
    <w:rsid w:val="00410899"/>
    <w:rsid w:val="00410A5C"/>
    <w:rsid w:val="00410B74"/>
    <w:rsid w:val="004112B7"/>
    <w:rsid w:val="00411581"/>
    <w:rsid w:val="004118B6"/>
    <w:rsid w:val="00411DEC"/>
    <w:rsid w:val="00411F36"/>
    <w:rsid w:val="004123A5"/>
    <w:rsid w:val="00412CC6"/>
    <w:rsid w:val="00412EEF"/>
    <w:rsid w:val="0041309F"/>
    <w:rsid w:val="00413242"/>
    <w:rsid w:val="00413709"/>
    <w:rsid w:val="0041373E"/>
    <w:rsid w:val="00413A09"/>
    <w:rsid w:val="00413C1A"/>
    <w:rsid w:val="00413F91"/>
    <w:rsid w:val="00414B03"/>
    <w:rsid w:val="00414B5F"/>
    <w:rsid w:val="00414EA6"/>
    <w:rsid w:val="00414F89"/>
    <w:rsid w:val="00414FBF"/>
    <w:rsid w:val="00415177"/>
    <w:rsid w:val="004151DA"/>
    <w:rsid w:val="0041526C"/>
    <w:rsid w:val="004158BE"/>
    <w:rsid w:val="00415A84"/>
    <w:rsid w:val="00415BCA"/>
    <w:rsid w:val="00415C69"/>
    <w:rsid w:val="004162D2"/>
    <w:rsid w:val="00416383"/>
    <w:rsid w:val="0041659E"/>
    <w:rsid w:val="00416A71"/>
    <w:rsid w:val="00416B43"/>
    <w:rsid w:val="00416DA9"/>
    <w:rsid w:val="0041725A"/>
    <w:rsid w:val="0041791C"/>
    <w:rsid w:val="0041792F"/>
    <w:rsid w:val="00417A16"/>
    <w:rsid w:val="00417C2D"/>
    <w:rsid w:val="00417D62"/>
    <w:rsid w:val="00417E6E"/>
    <w:rsid w:val="00420789"/>
    <w:rsid w:val="004209A1"/>
    <w:rsid w:val="00420A32"/>
    <w:rsid w:val="00420BAB"/>
    <w:rsid w:val="00420D30"/>
    <w:rsid w:val="00420DD8"/>
    <w:rsid w:val="004212EA"/>
    <w:rsid w:val="00421432"/>
    <w:rsid w:val="00421752"/>
    <w:rsid w:val="0042196D"/>
    <w:rsid w:val="00421A80"/>
    <w:rsid w:val="00421BE7"/>
    <w:rsid w:val="00421E59"/>
    <w:rsid w:val="00421F78"/>
    <w:rsid w:val="00421FB3"/>
    <w:rsid w:val="00421FDA"/>
    <w:rsid w:val="00421FF9"/>
    <w:rsid w:val="004225E9"/>
    <w:rsid w:val="00422611"/>
    <w:rsid w:val="0042287E"/>
    <w:rsid w:val="00422F72"/>
    <w:rsid w:val="00422FE9"/>
    <w:rsid w:val="0042305F"/>
    <w:rsid w:val="00423348"/>
    <w:rsid w:val="00423399"/>
    <w:rsid w:val="004234B0"/>
    <w:rsid w:val="00423BE8"/>
    <w:rsid w:val="00423D6A"/>
    <w:rsid w:val="00424394"/>
    <w:rsid w:val="004247BA"/>
    <w:rsid w:val="004249E6"/>
    <w:rsid w:val="00424C9A"/>
    <w:rsid w:val="00424D3F"/>
    <w:rsid w:val="00425214"/>
    <w:rsid w:val="00425234"/>
    <w:rsid w:val="00425356"/>
    <w:rsid w:val="00425431"/>
    <w:rsid w:val="0042547E"/>
    <w:rsid w:val="004254FF"/>
    <w:rsid w:val="00425761"/>
    <w:rsid w:val="004257D6"/>
    <w:rsid w:val="00425A14"/>
    <w:rsid w:val="00425A30"/>
    <w:rsid w:val="00425CCB"/>
    <w:rsid w:val="00426170"/>
    <w:rsid w:val="004262A3"/>
    <w:rsid w:val="0042643D"/>
    <w:rsid w:val="0042659E"/>
    <w:rsid w:val="004265A6"/>
    <w:rsid w:val="00426AAD"/>
    <w:rsid w:val="00426B62"/>
    <w:rsid w:val="00426EBC"/>
    <w:rsid w:val="0042706A"/>
    <w:rsid w:val="00427202"/>
    <w:rsid w:val="0042725C"/>
    <w:rsid w:val="004274E8"/>
    <w:rsid w:val="0042761F"/>
    <w:rsid w:val="00427917"/>
    <w:rsid w:val="004279BB"/>
    <w:rsid w:val="00427CD3"/>
    <w:rsid w:val="00427DFB"/>
    <w:rsid w:val="004301BC"/>
    <w:rsid w:val="004302EB"/>
    <w:rsid w:val="00430454"/>
    <w:rsid w:val="004304B8"/>
    <w:rsid w:val="00430506"/>
    <w:rsid w:val="00430700"/>
    <w:rsid w:val="00430F32"/>
    <w:rsid w:val="00431198"/>
    <w:rsid w:val="0043126A"/>
    <w:rsid w:val="0043137A"/>
    <w:rsid w:val="00431718"/>
    <w:rsid w:val="004317DC"/>
    <w:rsid w:val="00431927"/>
    <w:rsid w:val="004319DE"/>
    <w:rsid w:val="00431A13"/>
    <w:rsid w:val="00431B0C"/>
    <w:rsid w:val="00431D1E"/>
    <w:rsid w:val="00431DAD"/>
    <w:rsid w:val="0043215A"/>
    <w:rsid w:val="004321CA"/>
    <w:rsid w:val="004321EF"/>
    <w:rsid w:val="004322BE"/>
    <w:rsid w:val="0043241E"/>
    <w:rsid w:val="00432508"/>
    <w:rsid w:val="0043253F"/>
    <w:rsid w:val="0043286E"/>
    <w:rsid w:val="004329CD"/>
    <w:rsid w:val="00432AFA"/>
    <w:rsid w:val="00433216"/>
    <w:rsid w:val="00433256"/>
    <w:rsid w:val="00433261"/>
    <w:rsid w:val="004332BD"/>
    <w:rsid w:val="004335F7"/>
    <w:rsid w:val="00433BF0"/>
    <w:rsid w:val="0043408A"/>
    <w:rsid w:val="004346DB"/>
    <w:rsid w:val="004349C3"/>
    <w:rsid w:val="004349E5"/>
    <w:rsid w:val="00434F71"/>
    <w:rsid w:val="00435107"/>
    <w:rsid w:val="004356E6"/>
    <w:rsid w:val="00435824"/>
    <w:rsid w:val="004358BC"/>
    <w:rsid w:val="00435C00"/>
    <w:rsid w:val="0043603C"/>
    <w:rsid w:val="00436382"/>
    <w:rsid w:val="00436637"/>
    <w:rsid w:val="0043665F"/>
    <w:rsid w:val="004366A6"/>
    <w:rsid w:val="00436A7B"/>
    <w:rsid w:val="00437408"/>
    <w:rsid w:val="00437742"/>
    <w:rsid w:val="004378DC"/>
    <w:rsid w:val="0043797E"/>
    <w:rsid w:val="00437DB6"/>
    <w:rsid w:val="00437F0A"/>
    <w:rsid w:val="004403A6"/>
    <w:rsid w:val="004405A5"/>
    <w:rsid w:val="004406E4"/>
    <w:rsid w:val="00440DA5"/>
    <w:rsid w:val="00440F23"/>
    <w:rsid w:val="00440FFE"/>
    <w:rsid w:val="004411A0"/>
    <w:rsid w:val="004413DE"/>
    <w:rsid w:val="004414F7"/>
    <w:rsid w:val="00441871"/>
    <w:rsid w:val="00441887"/>
    <w:rsid w:val="00441A87"/>
    <w:rsid w:val="00441D8B"/>
    <w:rsid w:val="00441DAA"/>
    <w:rsid w:val="004422DB"/>
    <w:rsid w:val="00442482"/>
    <w:rsid w:val="004424D3"/>
    <w:rsid w:val="00442731"/>
    <w:rsid w:val="00442735"/>
    <w:rsid w:val="0044293B"/>
    <w:rsid w:val="00442B33"/>
    <w:rsid w:val="00442BB3"/>
    <w:rsid w:val="00442BDF"/>
    <w:rsid w:val="00442E5D"/>
    <w:rsid w:val="00442F7E"/>
    <w:rsid w:val="00443458"/>
    <w:rsid w:val="004434F2"/>
    <w:rsid w:val="00443882"/>
    <w:rsid w:val="0044399C"/>
    <w:rsid w:val="00443C1F"/>
    <w:rsid w:val="00443C22"/>
    <w:rsid w:val="00444537"/>
    <w:rsid w:val="004445A9"/>
    <w:rsid w:val="004445DA"/>
    <w:rsid w:val="00444868"/>
    <w:rsid w:val="00444EF7"/>
    <w:rsid w:val="00444FF6"/>
    <w:rsid w:val="00445415"/>
    <w:rsid w:val="00445535"/>
    <w:rsid w:val="00445592"/>
    <w:rsid w:val="00445766"/>
    <w:rsid w:val="0044577F"/>
    <w:rsid w:val="004462CA"/>
    <w:rsid w:val="004462CC"/>
    <w:rsid w:val="004463EE"/>
    <w:rsid w:val="00446409"/>
    <w:rsid w:val="00446483"/>
    <w:rsid w:val="00446768"/>
    <w:rsid w:val="004469C0"/>
    <w:rsid w:val="00446E0A"/>
    <w:rsid w:val="00446ED6"/>
    <w:rsid w:val="00447223"/>
    <w:rsid w:val="00447641"/>
    <w:rsid w:val="00447B72"/>
    <w:rsid w:val="00447FBB"/>
    <w:rsid w:val="0045011E"/>
    <w:rsid w:val="00450518"/>
    <w:rsid w:val="00450C45"/>
    <w:rsid w:val="00450C48"/>
    <w:rsid w:val="00450EB8"/>
    <w:rsid w:val="00450F81"/>
    <w:rsid w:val="0045196D"/>
    <w:rsid w:val="00451ADB"/>
    <w:rsid w:val="00451BC8"/>
    <w:rsid w:val="00451F0B"/>
    <w:rsid w:val="0045201E"/>
    <w:rsid w:val="00452163"/>
    <w:rsid w:val="00452327"/>
    <w:rsid w:val="004528C2"/>
    <w:rsid w:val="00452A1E"/>
    <w:rsid w:val="00452B22"/>
    <w:rsid w:val="00452BF6"/>
    <w:rsid w:val="00452D1C"/>
    <w:rsid w:val="00453099"/>
    <w:rsid w:val="0045348A"/>
    <w:rsid w:val="0045354E"/>
    <w:rsid w:val="00453727"/>
    <w:rsid w:val="0045397F"/>
    <w:rsid w:val="00453CDE"/>
    <w:rsid w:val="00454026"/>
    <w:rsid w:val="00454271"/>
    <w:rsid w:val="004542A4"/>
    <w:rsid w:val="00454414"/>
    <w:rsid w:val="004544CE"/>
    <w:rsid w:val="004544E5"/>
    <w:rsid w:val="00454727"/>
    <w:rsid w:val="00454765"/>
    <w:rsid w:val="004547C3"/>
    <w:rsid w:val="00454944"/>
    <w:rsid w:val="00454BA5"/>
    <w:rsid w:val="00454C36"/>
    <w:rsid w:val="00454C8A"/>
    <w:rsid w:val="00454F6E"/>
    <w:rsid w:val="004552B2"/>
    <w:rsid w:val="0045540B"/>
    <w:rsid w:val="004554D4"/>
    <w:rsid w:val="004554E9"/>
    <w:rsid w:val="00455674"/>
    <w:rsid w:val="00455809"/>
    <w:rsid w:val="00455A21"/>
    <w:rsid w:val="00455C81"/>
    <w:rsid w:val="00455D12"/>
    <w:rsid w:val="00455D4F"/>
    <w:rsid w:val="0045670A"/>
    <w:rsid w:val="00456990"/>
    <w:rsid w:val="00456B44"/>
    <w:rsid w:val="00456C82"/>
    <w:rsid w:val="00456E42"/>
    <w:rsid w:val="004570BA"/>
    <w:rsid w:val="00457669"/>
    <w:rsid w:val="00457763"/>
    <w:rsid w:val="00457774"/>
    <w:rsid w:val="00457775"/>
    <w:rsid w:val="0045797E"/>
    <w:rsid w:val="00457A7E"/>
    <w:rsid w:val="00457E77"/>
    <w:rsid w:val="00457F2B"/>
    <w:rsid w:val="00460079"/>
    <w:rsid w:val="004602BB"/>
    <w:rsid w:val="00460646"/>
    <w:rsid w:val="00460699"/>
    <w:rsid w:val="0046088E"/>
    <w:rsid w:val="00460C4D"/>
    <w:rsid w:val="00460F31"/>
    <w:rsid w:val="00460FD4"/>
    <w:rsid w:val="004610DD"/>
    <w:rsid w:val="00461167"/>
    <w:rsid w:val="00461DA8"/>
    <w:rsid w:val="00462161"/>
    <w:rsid w:val="00462C37"/>
    <w:rsid w:val="00462E36"/>
    <w:rsid w:val="0046306E"/>
    <w:rsid w:val="0046339F"/>
    <w:rsid w:val="00463592"/>
    <w:rsid w:val="004635DB"/>
    <w:rsid w:val="00463786"/>
    <w:rsid w:val="00463971"/>
    <w:rsid w:val="00463A56"/>
    <w:rsid w:val="00463E65"/>
    <w:rsid w:val="00463E8F"/>
    <w:rsid w:val="00463FE9"/>
    <w:rsid w:val="00464305"/>
    <w:rsid w:val="004643AD"/>
    <w:rsid w:val="004646F1"/>
    <w:rsid w:val="004648E9"/>
    <w:rsid w:val="00464B34"/>
    <w:rsid w:val="004652D1"/>
    <w:rsid w:val="004654A9"/>
    <w:rsid w:val="004654EB"/>
    <w:rsid w:val="00465616"/>
    <w:rsid w:val="00465749"/>
    <w:rsid w:val="00465A59"/>
    <w:rsid w:val="00465F8C"/>
    <w:rsid w:val="0046605D"/>
    <w:rsid w:val="0046605F"/>
    <w:rsid w:val="004663E1"/>
    <w:rsid w:val="004665D5"/>
    <w:rsid w:val="004668DD"/>
    <w:rsid w:val="00466E5D"/>
    <w:rsid w:val="00466E7C"/>
    <w:rsid w:val="00466F85"/>
    <w:rsid w:val="00467016"/>
    <w:rsid w:val="00467464"/>
    <w:rsid w:val="00467A82"/>
    <w:rsid w:val="00467BFD"/>
    <w:rsid w:val="00467C5A"/>
    <w:rsid w:val="00467FB2"/>
    <w:rsid w:val="00470099"/>
    <w:rsid w:val="0047087A"/>
    <w:rsid w:val="0047089E"/>
    <w:rsid w:val="004708F4"/>
    <w:rsid w:val="00470B95"/>
    <w:rsid w:val="00470CED"/>
    <w:rsid w:val="00470D57"/>
    <w:rsid w:val="00470DD2"/>
    <w:rsid w:val="00470EA3"/>
    <w:rsid w:val="00470F5F"/>
    <w:rsid w:val="00471033"/>
    <w:rsid w:val="00471042"/>
    <w:rsid w:val="004713BA"/>
    <w:rsid w:val="004717E9"/>
    <w:rsid w:val="004718D3"/>
    <w:rsid w:val="0047193E"/>
    <w:rsid w:val="00471ADC"/>
    <w:rsid w:val="00471B81"/>
    <w:rsid w:val="00471BB0"/>
    <w:rsid w:val="00471D9B"/>
    <w:rsid w:val="00472040"/>
    <w:rsid w:val="00472706"/>
    <w:rsid w:val="004728CB"/>
    <w:rsid w:val="00472C8B"/>
    <w:rsid w:val="00472D9C"/>
    <w:rsid w:val="004734C2"/>
    <w:rsid w:val="004738DF"/>
    <w:rsid w:val="00473962"/>
    <w:rsid w:val="00474012"/>
    <w:rsid w:val="004741C7"/>
    <w:rsid w:val="00474200"/>
    <w:rsid w:val="00474558"/>
    <w:rsid w:val="0047473F"/>
    <w:rsid w:val="0047494B"/>
    <w:rsid w:val="00474B42"/>
    <w:rsid w:val="00474F3B"/>
    <w:rsid w:val="004751F1"/>
    <w:rsid w:val="004751FC"/>
    <w:rsid w:val="0047556A"/>
    <w:rsid w:val="004756C0"/>
    <w:rsid w:val="00475E66"/>
    <w:rsid w:val="00475EDE"/>
    <w:rsid w:val="004760B0"/>
    <w:rsid w:val="004761E0"/>
    <w:rsid w:val="0047698E"/>
    <w:rsid w:val="00476BDF"/>
    <w:rsid w:val="00476D40"/>
    <w:rsid w:val="00476E69"/>
    <w:rsid w:val="00476FCA"/>
    <w:rsid w:val="004776AF"/>
    <w:rsid w:val="004777D8"/>
    <w:rsid w:val="00477AA2"/>
    <w:rsid w:val="00477AFF"/>
    <w:rsid w:val="00477C10"/>
    <w:rsid w:val="00477E4D"/>
    <w:rsid w:val="004802D9"/>
    <w:rsid w:val="004803D8"/>
    <w:rsid w:val="004809B9"/>
    <w:rsid w:val="00480B5C"/>
    <w:rsid w:val="00480C78"/>
    <w:rsid w:val="00480E16"/>
    <w:rsid w:val="00480EC2"/>
    <w:rsid w:val="0048168B"/>
    <w:rsid w:val="004817F1"/>
    <w:rsid w:val="004818A4"/>
    <w:rsid w:val="00481925"/>
    <w:rsid w:val="00481A1C"/>
    <w:rsid w:val="00481FDB"/>
    <w:rsid w:val="00482253"/>
    <w:rsid w:val="00482303"/>
    <w:rsid w:val="004823D7"/>
    <w:rsid w:val="00482850"/>
    <w:rsid w:val="0048296D"/>
    <w:rsid w:val="00482A8A"/>
    <w:rsid w:val="00482B17"/>
    <w:rsid w:val="00482EF8"/>
    <w:rsid w:val="004830F7"/>
    <w:rsid w:val="00483314"/>
    <w:rsid w:val="00483891"/>
    <w:rsid w:val="00483AB5"/>
    <w:rsid w:val="00484017"/>
    <w:rsid w:val="004843B9"/>
    <w:rsid w:val="004844D4"/>
    <w:rsid w:val="00484A67"/>
    <w:rsid w:val="00484D5F"/>
    <w:rsid w:val="00484F9F"/>
    <w:rsid w:val="0048544E"/>
    <w:rsid w:val="0048549D"/>
    <w:rsid w:val="004856AD"/>
    <w:rsid w:val="0048588B"/>
    <w:rsid w:val="00485CD2"/>
    <w:rsid w:val="00485FA0"/>
    <w:rsid w:val="00486056"/>
    <w:rsid w:val="0048606A"/>
    <w:rsid w:val="0048631E"/>
    <w:rsid w:val="0048636B"/>
    <w:rsid w:val="0048651F"/>
    <w:rsid w:val="0048657E"/>
    <w:rsid w:val="004869B3"/>
    <w:rsid w:val="00486C07"/>
    <w:rsid w:val="004870B1"/>
    <w:rsid w:val="00487109"/>
    <w:rsid w:val="00487132"/>
    <w:rsid w:val="00487140"/>
    <w:rsid w:val="004876DE"/>
    <w:rsid w:val="0048781B"/>
    <w:rsid w:val="004878A6"/>
    <w:rsid w:val="00490364"/>
    <w:rsid w:val="004903EF"/>
    <w:rsid w:val="004907D0"/>
    <w:rsid w:val="00490884"/>
    <w:rsid w:val="00490DF0"/>
    <w:rsid w:val="00491028"/>
    <w:rsid w:val="004915B7"/>
    <w:rsid w:val="00491723"/>
    <w:rsid w:val="00491DAB"/>
    <w:rsid w:val="00491F9C"/>
    <w:rsid w:val="00492516"/>
    <w:rsid w:val="00492C4A"/>
    <w:rsid w:val="00492C6C"/>
    <w:rsid w:val="00492D25"/>
    <w:rsid w:val="004933D9"/>
    <w:rsid w:val="00493427"/>
    <w:rsid w:val="00493ACC"/>
    <w:rsid w:val="00493AEE"/>
    <w:rsid w:val="00493D41"/>
    <w:rsid w:val="00494050"/>
    <w:rsid w:val="00494231"/>
    <w:rsid w:val="004943F2"/>
    <w:rsid w:val="00494510"/>
    <w:rsid w:val="004945D3"/>
    <w:rsid w:val="004945D6"/>
    <w:rsid w:val="00494704"/>
    <w:rsid w:val="00494DDF"/>
    <w:rsid w:val="00495209"/>
    <w:rsid w:val="0049537A"/>
    <w:rsid w:val="004953DC"/>
    <w:rsid w:val="00495DD4"/>
    <w:rsid w:val="004964C3"/>
    <w:rsid w:val="004966BD"/>
    <w:rsid w:val="00496793"/>
    <w:rsid w:val="00496A5E"/>
    <w:rsid w:val="00496ACD"/>
    <w:rsid w:val="00496D01"/>
    <w:rsid w:val="00496DBB"/>
    <w:rsid w:val="004970B5"/>
    <w:rsid w:val="004974D7"/>
    <w:rsid w:val="00497658"/>
    <w:rsid w:val="004979C5"/>
    <w:rsid w:val="004979FC"/>
    <w:rsid w:val="00497EC0"/>
    <w:rsid w:val="00497F12"/>
    <w:rsid w:val="00497F78"/>
    <w:rsid w:val="004A006D"/>
    <w:rsid w:val="004A0774"/>
    <w:rsid w:val="004A0889"/>
    <w:rsid w:val="004A0C2A"/>
    <w:rsid w:val="004A0DA9"/>
    <w:rsid w:val="004A0DB3"/>
    <w:rsid w:val="004A0F2B"/>
    <w:rsid w:val="004A104F"/>
    <w:rsid w:val="004A10F9"/>
    <w:rsid w:val="004A1187"/>
    <w:rsid w:val="004A11EC"/>
    <w:rsid w:val="004A1541"/>
    <w:rsid w:val="004A15B8"/>
    <w:rsid w:val="004A19BB"/>
    <w:rsid w:val="004A1DEB"/>
    <w:rsid w:val="004A1E06"/>
    <w:rsid w:val="004A1E47"/>
    <w:rsid w:val="004A1EE7"/>
    <w:rsid w:val="004A2207"/>
    <w:rsid w:val="004A2950"/>
    <w:rsid w:val="004A29C2"/>
    <w:rsid w:val="004A2CC7"/>
    <w:rsid w:val="004A309D"/>
    <w:rsid w:val="004A3471"/>
    <w:rsid w:val="004A3586"/>
    <w:rsid w:val="004A3A1F"/>
    <w:rsid w:val="004A3B02"/>
    <w:rsid w:val="004A3B29"/>
    <w:rsid w:val="004A3B38"/>
    <w:rsid w:val="004A3C2F"/>
    <w:rsid w:val="004A3EC3"/>
    <w:rsid w:val="004A3F30"/>
    <w:rsid w:val="004A3FAE"/>
    <w:rsid w:val="004A3FCD"/>
    <w:rsid w:val="004A4061"/>
    <w:rsid w:val="004A4203"/>
    <w:rsid w:val="004A4379"/>
    <w:rsid w:val="004A4391"/>
    <w:rsid w:val="004A43FF"/>
    <w:rsid w:val="004A4682"/>
    <w:rsid w:val="004A470A"/>
    <w:rsid w:val="004A4BC4"/>
    <w:rsid w:val="004A4BD0"/>
    <w:rsid w:val="004A4D29"/>
    <w:rsid w:val="004A4F26"/>
    <w:rsid w:val="004A5294"/>
    <w:rsid w:val="004A54B3"/>
    <w:rsid w:val="004A5584"/>
    <w:rsid w:val="004A5734"/>
    <w:rsid w:val="004A5BCA"/>
    <w:rsid w:val="004A5DD0"/>
    <w:rsid w:val="004A5F7E"/>
    <w:rsid w:val="004A618E"/>
    <w:rsid w:val="004A6541"/>
    <w:rsid w:val="004A6679"/>
    <w:rsid w:val="004A67CD"/>
    <w:rsid w:val="004A6A48"/>
    <w:rsid w:val="004A6CC2"/>
    <w:rsid w:val="004A6DD5"/>
    <w:rsid w:val="004A6F2C"/>
    <w:rsid w:val="004A7007"/>
    <w:rsid w:val="004A702F"/>
    <w:rsid w:val="004A742D"/>
    <w:rsid w:val="004A7A8C"/>
    <w:rsid w:val="004B0071"/>
    <w:rsid w:val="004B0298"/>
    <w:rsid w:val="004B03D3"/>
    <w:rsid w:val="004B0925"/>
    <w:rsid w:val="004B0DC3"/>
    <w:rsid w:val="004B1016"/>
    <w:rsid w:val="004B10B4"/>
    <w:rsid w:val="004B11AF"/>
    <w:rsid w:val="004B1295"/>
    <w:rsid w:val="004B1E5C"/>
    <w:rsid w:val="004B2066"/>
    <w:rsid w:val="004B2303"/>
    <w:rsid w:val="004B2658"/>
    <w:rsid w:val="004B277A"/>
    <w:rsid w:val="004B280E"/>
    <w:rsid w:val="004B28EA"/>
    <w:rsid w:val="004B2CD1"/>
    <w:rsid w:val="004B2D1F"/>
    <w:rsid w:val="004B3137"/>
    <w:rsid w:val="004B3310"/>
    <w:rsid w:val="004B34BD"/>
    <w:rsid w:val="004B36A0"/>
    <w:rsid w:val="004B37C9"/>
    <w:rsid w:val="004B3874"/>
    <w:rsid w:val="004B3ADE"/>
    <w:rsid w:val="004B3CD5"/>
    <w:rsid w:val="004B3D34"/>
    <w:rsid w:val="004B453D"/>
    <w:rsid w:val="004B45F3"/>
    <w:rsid w:val="004B466D"/>
    <w:rsid w:val="004B4761"/>
    <w:rsid w:val="004B4785"/>
    <w:rsid w:val="004B4907"/>
    <w:rsid w:val="004B4F43"/>
    <w:rsid w:val="004B52FA"/>
    <w:rsid w:val="004B5CE0"/>
    <w:rsid w:val="004B5CFC"/>
    <w:rsid w:val="004B5D32"/>
    <w:rsid w:val="004B5FD8"/>
    <w:rsid w:val="004B6328"/>
    <w:rsid w:val="004B6930"/>
    <w:rsid w:val="004B6947"/>
    <w:rsid w:val="004B6A00"/>
    <w:rsid w:val="004B6A7B"/>
    <w:rsid w:val="004B6E80"/>
    <w:rsid w:val="004B6ED0"/>
    <w:rsid w:val="004B6FEE"/>
    <w:rsid w:val="004B73FC"/>
    <w:rsid w:val="004B7505"/>
    <w:rsid w:val="004B75BB"/>
    <w:rsid w:val="004B75F3"/>
    <w:rsid w:val="004B7711"/>
    <w:rsid w:val="004B7FF8"/>
    <w:rsid w:val="004C027B"/>
    <w:rsid w:val="004C0552"/>
    <w:rsid w:val="004C11B3"/>
    <w:rsid w:val="004C132D"/>
    <w:rsid w:val="004C1698"/>
    <w:rsid w:val="004C1726"/>
    <w:rsid w:val="004C1802"/>
    <w:rsid w:val="004C18B1"/>
    <w:rsid w:val="004C1BFD"/>
    <w:rsid w:val="004C20D9"/>
    <w:rsid w:val="004C27D4"/>
    <w:rsid w:val="004C28C8"/>
    <w:rsid w:val="004C2A79"/>
    <w:rsid w:val="004C2D7C"/>
    <w:rsid w:val="004C2E53"/>
    <w:rsid w:val="004C2EE1"/>
    <w:rsid w:val="004C3029"/>
    <w:rsid w:val="004C3170"/>
    <w:rsid w:val="004C31C8"/>
    <w:rsid w:val="004C3323"/>
    <w:rsid w:val="004C3413"/>
    <w:rsid w:val="004C3B22"/>
    <w:rsid w:val="004C3C50"/>
    <w:rsid w:val="004C3DDB"/>
    <w:rsid w:val="004C3F01"/>
    <w:rsid w:val="004C4271"/>
    <w:rsid w:val="004C4594"/>
    <w:rsid w:val="004C496D"/>
    <w:rsid w:val="004C4AFB"/>
    <w:rsid w:val="004C56C4"/>
    <w:rsid w:val="004C57F0"/>
    <w:rsid w:val="004C580F"/>
    <w:rsid w:val="004C5824"/>
    <w:rsid w:val="004C5A87"/>
    <w:rsid w:val="004C5AEB"/>
    <w:rsid w:val="004C5AF9"/>
    <w:rsid w:val="004C5DFF"/>
    <w:rsid w:val="004C60CA"/>
    <w:rsid w:val="004C63A1"/>
    <w:rsid w:val="004C65A3"/>
    <w:rsid w:val="004C677E"/>
    <w:rsid w:val="004C6CAD"/>
    <w:rsid w:val="004C6D98"/>
    <w:rsid w:val="004C6E56"/>
    <w:rsid w:val="004C7042"/>
    <w:rsid w:val="004C7261"/>
    <w:rsid w:val="004C72FA"/>
    <w:rsid w:val="004C7577"/>
    <w:rsid w:val="004C7751"/>
    <w:rsid w:val="004C7806"/>
    <w:rsid w:val="004C7A0E"/>
    <w:rsid w:val="004C7AD9"/>
    <w:rsid w:val="004C7B87"/>
    <w:rsid w:val="004C7CEA"/>
    <w:rsid w:val="004D017F"/>
    <w:rsid w:val="004D0396"/>
    <w:rsid w:val="004D04E0"/>
    <w:rsid w:val="004D082C"/>
    <w:rsid w:val="004D08CC"/>
    <w:rsid w:val="004D08FC"/>
    <w:rsid w:val="004D090B"/>
    <w:rsid w:val="004D09D8"/>
    <w:rsid w:val="004D09DC"/>
    <w:rsid w:val="004D0AA6"/>
    <w:rsid w:val="004D0D2F"/>
    <w:rsid w:val="004D0D3D"/>
    <w:rsid w:val="004D0E67"/>
    <w:rsid w:val="004D0F50"/>
    <w:rsid w:val="004D1064"/>
    <w:rsid w:val="004D1172"/>
    <w:rsid w:val="004D1386"/>
    <w:rsid w:val="004D138E"/>
    <w:rsid w:val="004D1833"/>
    <w:rsid w:val="004D1A6D"/>
    <w:rsid w:val="004D1F3B"/>
    <w:rsid w:val="004D1F62"/>
    <w:rsid w:val="004D2388"/>
    <w:rsid w:val="004D285C"/>
    <w:rsid w:val="004D2A7E"/>
    <w:rsid w:val="004D2E27"/>
    <w:rsid w:val="004D2F5F"/>
    <w:rsid w:val="004D31E5"/>
    <w:rsid w:val="004D336C"/>
    <w:rsid w:val="004D3995"/>
    <w:rsid w:val="004D3BEA"/>
    <w:rsid w:val="004D3C27"/>
    <w:rsid w:val="004D3FCB"/>
    <w:rsid w:val="004D4065"/>
    <w:rsid w:val="004D47FA"/>
    <w:rsid w:val="004D4839"/>
    <w:rsid w:val="004D4B5A"/>
    <w:rsid w:val="004D4FAF"/>
    <w:rsid w:val="004D5B5E"/>
    <w:rsid w:val="004D5D61"/>
    <w:rsid w:val="004D619B"/>
    <w:rsid w:val="004D62F5"/>
    <w:rsid w:val="004D63C4"/>
    <w:rsid w:val="004D648E"/>
    <w:rsid w:val="004D65C7"/>
    <w:rsid w:val="004D673B"/>
    <w:rsid w:val="004D6907"/>
    <w:rsid w:val="004D6B7B"/>
    <w:rsid w:val="004D6CCD"/>
    <w:rsid w:val="004D72D3"/>
    <w:rsid w:val="004D7B14"/>
    <w:rsid w:val="004D7D5F"/>
    <w:rsid w:val="004D7FB9"/>
    <w:rsid w:val="004E02FD"/>
    <w:rsid w:val="004E04F2"/>
    <w:rsid w:val="004E0538"/>
    <w:rsid w:val="004E0607"/>
    <w:rsid w:val="004E0719"/>
    <w:rsid w:val="004E08C7"/>
    <w:rsid w:val="004E0A68"/>
    <w:rsid w:val="004E0CF4"/>
    <w:rsid w:val="004E10C0"/>
    <w:rsid w:val="004E1372"/>
    <w:rsid w:val="004E15E1"/>
    <w:rsid w:val="004E1F70"/>
    <w:rsid w:val="004E2429"/>
    <w:rsid w:val="004E24B7"/>
    <w:rsid w:val="004E25DA"/>
    <w:rsid w:val="004E2655"/>
    <w:rsid w:val="004E26F5"/>
    <w:rsid w:val="004E335A"/>
    <w:rsid w:val="004E34C3"/>
    <w:rsid w:val="004E3694"/>
    <w:rsid w:val="004E3849"/>
    <w:rsid w:val="004E404A"/>
    <w:rsid w:val="004E40E9"/>
    <w:rsid w:val="004E473C"/>
    <w:rsid w:val="004E47F8"/>
    <w:rsid w:val="004E48B9"/>
    <w:rsid w:val="004E4933"/>
    <w:rsid w:val="004E49C9"/>
    <w:rsid w:val="004E4A2F"/>
    <w:rsid w:val="004E4CC6"/>
    <w:rsid w:val="004E4CCB"/>
    <w:rsid w:val="004E4FA1"/>
    <w:rsid w:val="004E509C"/>
    <w:rsid w:val="004E509F"/>
    <w:rsid w:val="004E5435"/>
    <w:rsid w:val="004E5DF2"/>
    <w:rsid w:val="004E649C"/>
    <w:rsid w:val="004E65FB"/>
    <w:rsid w:val="004E6638"/>
    <w:rsid w:val="004E684F"/>
    <w:rsid w:val="004E68B7"/>
    <w:rsid w:val="004E6A2A"/>
    <w:rsid w:val="004E6B33"/>
    <w:rsid w:val="004E6BA2"/>
    <w:rsid w:val="004E6EE2"/>
    <w:rsid w:val="004E7018"/>
    <w:rsid w:val="004E7077"/>
    <w:rsid w:val="004E7304"/>
    <w:rsid w:val="004E7F06"/>
    <w:rsid w:val="004F03B8"/>
    <w:rsid w:val="004F03C2"/>
    <w:rsid w:val="004F06C6"/>
    <w:rsid w:val="004F088D"/>
    <w:rsid w:val="004F0BC2"/>
    <w:rsid w:val="004F0D05"/>
    <w:rsid w:val="004F1495"/>
    <w:rsid w:val="004F1A3D"/>
    <w:rsid w:val="004F1BD8"/>
    <w:rsid w:val="004F1C88"/>
    <w:rsid w:val="004F1D3A"/>
    <w:rsid w:val="004F267F"/>
    <w:rsid w:val="004F299C"/>
    <w:rsid w:val="004F3118"/>
    <w:rsid w:val="004F3B18"/>
    <w:rsid w:val="004F3B72"/>
    <w:rsid w:val="004F3F91"/>
    <w:rsid w:val="004F4443"/>
    <w:rsid w:val="004F454D"/>
    <w:rsid w:val="004F4664"/>
    <w:rsid w:val="004F495E"/>
    <w:rsid w:val="004F4B13"/>
    <w:rsid w:val="004F4BE4"/>
    <w:rsid w:val="004F4C11"/>
    <w:rsid w:val="004F4F79"/>
    <w:rsid w:val="004F4F9D"/>
    <w:rsid w:val="004F531B"/>
    <w:rsid w:val="004F53FB"/>
    <w:rsid w:val="004F5447"/>
    <w:rsid w:val="004F5650"/>
    <w:rsid w:val="004F5844"/>
    <w:rsid w:val="004F5F81"/>
    <w:rsid w:val="004F6003"/>
    <w:rsid w:val="004F6048"/>
    <w:rsid w:val="004F6528"/>
    <w:rsid w:val="004F6855"/>
    <w:rsid w:val="004F68CB"/>
    <w:rsid w:val="004F6AB6"/>
    <w:rsid w:val="004F6B1C"/>
    <w:rsid w:val="004F6B30"/>
    <w:rsid w:val="004F6D82"/>
    <w:rsid w:val="004F6F7F"/>
    <w:rsid w:val="004F706A"/>
    <w:rsid w:val="004F7702"/>
    <w:rsid w:val="004F7747"/>
    <w:rsid w:val="004F7828"/>
    <w:rsid w:val="004F78CD"/>
    <w:rsid w:val="004F79DA"/>
    <w:rsid w:val="004F7ADA"/>
    <w:rsid w:val="004F7B9A"/>
    <w:rsid w:val="004F7EA9"/>
    <w:rsid w:val="0050011B"/>
    <w:rsid w:val="005001E5"/>
    <w:rsid w:val="00500DD9"/>
    <w:rsid w:val="00501089"/>
    <w:rsid w:val="0050145B"/>
    <w:rsid w:val="0050178C"/>
    <w:rsid w:val="00501A9C"/>
    <w:rsid w:val="00501C91"/>
    <w:rsid w:val="00501DC5"/>
    <w:rsid w:val="00502031"/>
    <w:rsid w:val="005021AE"/>
    <w:rsid w:val="00502A83"/>
    <w:rsid w:val="00502CA9"/>
    <w:rsid w:val="00502D74"/>
    <w:rsid w:val="005031BD"/>
    <w:rsid w:val="0050339E"/>
    <w:rsid w:val="005036A7"/>
    <w:rsid w:val="00503738"/>
    <w:rsid w:val="0050374A"/>
    <w:rsid w:val="005037C6"/>
    <w:rsid w:val="00503ADC"/>
    <w:rsid w:val="00503DF4"/>
    <w:rsid w:val="005042BD"/>
    <w:rsid w:val="005044FF"/>
    <w:rsid w:val="005045F0"/>
    <w:rsid w:val="005049CA"/>
    <w:rsid w:val="00504A94"/>
    <w:rsid w:val="00504AD6"/>
    <w:rsid w:val="00504DEB"/>
    <w:rsid w:val="005052DF"/>
    <w:rsid w:val="0050583F"/>
    <w:rsid w:val="00505936"/>
    <w:rsid w:val="00505A9B"/>
    <w:rsid w:val="00505E11"/>
    <w:rsid w:val="00506018"/>
    <w:rsid w:val="0050636C"/>
    <w:rsid w:val="005063D9"/>
    <w:rsid w:val="005063E8"/>
    <w:rsid w:val="00506574"/>
    <w:rsid w:val="005067F7"/>
    <w:rsid w:val="00506818"/>
    <w:rsid w:val="00506853"/>
    <w:rsid w:val="00506A1C"/>
    <w:rsid w:val="00506BAF"/>
    <w:rsid w:val="00506BE3"/>
    <w:rsid w:val="00506FBE"/>
    <w:rsid w:val="005070D4"/>
    <w:rsid w:val="00507574"/>
    <w:rsid w:val="005077C1"/>
    <w:rsid w:val="005078C3"/>
    <w:rsid w:val="005078E2"/>
    <w:rsid w:val="005078E8"/>
    <w:rsid w:val="00507C87"/>
    <w:rsid w:val="00507D10"/>
    <w:rsid w:val="00507FD5"/>
    <w:rsid w:val="0051025D"/>
    <w:rsid w:val="005109FE"/>
    <w:rsid w:val="00510AD1"/>
    <w:rsid w:val="00510D01"/>
    <w:rsid w:val="00510E78"/>
    <w:rsid w:val="005111B2"/>
    <w:rsid w:val="00511228"/>
    <w:rsid w:val="0051135F"/>
    <w:rsid w:val="005115C1"/>
    <w:rsid w:val="005117B7"/>
    <w:rsid w:val="005117EC"/>
    <w:rsid w:val="0051184B"/>
    <w:rsid w:val="0051192C"/>
    <w:rsid w:val="005119F8"/>
    <w:rsid w:val="005125FB"/>
    <w:rsid w:val="00512ABD"/>
    <w:rsid w:val="00512B0A"/>
    <w:rsid w:val="00512B2C"/>
    <w:rsid w:val="00512B68"/>
    <w:rsid w:val="00512BFD"/>
    <w:rsid w:val="00513071"/>
    <w:rsid w:val="005132F0"/>
    <w:rsid w:val="00513406"/>
    <w:rsid w:val="0051347A"/>
    <w:rsid w:val="005136C9"/>
    <w:rsid w:val="00513B8D"/>
    <w:rsid w:val="00513FBF"/>
    <w:rsid w:val="00513FFE"/>
    <w:rsid w:val="00514096"/>
    <w:rsid w:val="0051409E"/>
    <w:rsid w:val="00514429"/>
    <w:rsid w:val="00514936"/>
    <w:rsid w:val="0051506F"/>
    <w:rsid w:val="005150DC"/>
    <w:rsid w:val="00515158"/>
    <w:rsid w:val="00515754"/>
    <w:rsid w:val="00515CD4"/>
    <w:rsid w:val="00515E4E"/>
    <w:rsid w:val="0051614E"/>
    <w:rsid w:val="00516180"/>
    <w:rsid w:val="005162A9"/>
    <w:rsid w:val="005163D2"/>
    <w:rsid w:val="00516441"/>
    <w:rsid w:val="005167FF"/>
    <w:rsid w:val="00516F61"/>
    <w:rsid w:val="005170AF"/>
    <w:rsid w:val="00517488"/>
    <w:rsid w:val="0051764C"/>
    <w:rsid w:val="00517930"/>
    <w:rsid w:val="005179E9"/>
    <w:rsid w:val="00517DBC"/>
    <w:rsid w:val="0051C396"/>
    <w:rsid w:val="005206E0"/>
    <w:rsid w:val="00520793"/>
    <w:rsid w:val="005209E5"/>
    <w:rsid w:val="00520A74"/>
    <w:rsid w:val="00520BCD"/>
    <w:rsid w:val="00520E82"/>
    <w:rsid w:val="00520ECC"/>
    <w:rsid w:val="0052106E"/>
    <w:rsid w:val="0052163D"/>
    <w:rsid w:val="005218DE"/>
    <w:rsid w:val="00521AED"/>
    <w:rsid w:val="005227DE"/>
    <w:rsid w:val="00522D06"/>
    <w:rsid w:val="005230FA"/>
    <w:rsid w:val="005232DC"/>
    <w:rsid w:val="0052394B"/>
    <w:rsid w:val="00523A86"/>
    <w:rsid w:val="00523C46"/>
    <w:rsid w:val="00523C83"/>
    <w:rsid w:val="00523D7F"/>
    <w:rsid w:val="00523D98"/>
    <w:rsid w:val="00523DD5"/>
    <w:rsid w:val="00523E57"/>
    <w:rsid w:val="00523F23"/>
    <w:rsid w:val="00524073"/>
    <w:rsid w:val="0052484C"/>
    <w:rsid w:val="00524CD7"/>
    <w:rsid w:val="00524D97"/>
    <w:rsid w:val="00525223"/>
    <w:rsid w:val="00525249"/>
    <w:rsid w:val="0052549D"/>
    <w:rsid w:val="005255A3"/>
    <w:rsid w:val="00525978"/>
    <w:rsid w:val="00525D43"/>
    <w:rsid w:val="00525F63"/>
    <w:rsid w:val="005261C9"/>
    <w:rsid w:val="005266E5"/>
    <w:rsid w:val="005267E4"/>
    <w:rsid w:val="005268BD"/>
    <w:rsid w:val="00526BAB"/>
    <w:rsid w:val="00526BF9"/>
    <w:rsid w:val="00526FE4"/>
    <w:rsid w:val="0052701D"/>
    <w:rsid w:val="005276E5"/>
    <w:rsid w:val="005279D8"/>
    <w:rsid w:val="00527AD9"/>
    <w:rsid w:val="00527E39"/>
    <w:rsid w:val="005300DD"/>
    <w:rsid w:val="005301A3"/>
    <w:rsid w:val="00530522"/>
    <w:rsid w:val="0053099B"/>
    <w:rsid w:val="005309AD"/>
    <w:rsid w:val="00530CDB"/>
    <w:rsid w:val="0053115D"/>
    <w:rsid w:val="0053144E"/>
    <w:rsid w:val="00531798"/>
    <w:rsid w:val="005318AB"/>
    <w:rsid w:val="00531AC5"/>
    <w:rsid w:val="00532059"/>
    <w:rsid w:val="0053225A"/>
    <w:rsid w:val="00532302"/>
    <w:rsid w:val="005323EC"/>
    <w:rsid w:val="005324F5"/>
    <w:rsid w:val="00532915"/>
    <w:rsid w:val="00532A99"/>
    <w:rsid w:val="00532B38"/>
    <w:rsid w:val="00533080"/>
    <w:rsid w:val="005331CB"/>
    <w:rsid w:val="0053343B"/>
    <w:rsid w:val="0053357C"/>
    <w:rsid w:val="005335CB"/>
    <w:rsid w:val="00533692"/>
    <w:rsid w:val="0053387D"/>
    <w:rsid w:val="00533921"/>
    <w:rsid w:val="00533987"/>
    <w:rsid w:val="005339DE"/>
    <w:rsid w:val="00533C2E"/>
    <w:rsid w:val="00533CFF"/>
    <w:rsid w:val="00533EDA"/>
    <w:rsid w:val="00533EEC"/>
    <w:rsid w:val="00534124"/>
    <w:rsid w:val="00534205"/>
    <w:rsid w:val="00534482"/>
    <w:rsid w:val="00534975"/>
    <w:rsid w:val="00534DA2"/>
    <w:rsid w:val="0053511E"/>
    <w:rsid w:val="00535C02"/>
    <w:rsid w:val="00535F5C"/>
    <w:rsid w:val="00536291"/>
    <w:rsid w:val="005363F5"/>
    <w:rsid w:val="00536514"/>
    <w:rsid w:val="0053651F"/>
    <w:rsid w:val="005365E0"/>
    <w:rsid w:val="00536A4E"/>
    <w:rsid w:val="00536A85"/>
    <w:rsid w:val="00536DAC"/>
    <w:rsid w:val="00537135"/>
    <w:rsid w:val="0053726B"/>
    <w:rsid w:val="005377AC"/>
    <w:rsid w:val="005378B1"/>
    <w:rsid w:val="00537DFE"/>
    <w:rsid w:val="00540092"/>
    <w:rsid w:val="005405CA"/>
    <w:rsid w:val="00540ABF"/>
    <w:rsid w:val="00540ECE"/>
    <w:rsid w:val="00540EF7"/>
    <w:rsid w:val="00541619"/>
    <w:rsid w:val="00541C66"/>
    <w:rsid w:val="00542075"/>
    <w:rsid w:val="00542790"/>
    <w:rsid w:val="00542C29"/>
    <w:rsid w:val="00542E4C"/>
    <w:rsid w:val="00543603"/>
    <w:rsid w:val="00543732"/>
    <w:rsid w:val="0054396A"/>
    <w:rsid w:val="00543E46"/>
    <w:rsid w:val="005441D1"/>
    <w:rsid w:val="00544230"/>
    <w:rsid w:val="0054469B"/>
    <w:rsid w:val="005446C1"/>
    <w:rsid w:val="005447F1"/>
    <w:rsid w:val="005448E4"/>
    <w:rsid w:val="00545079"/>
    <w:rsid w:val="005450C9"/>
    <w:rsid w:val="005455E1"/>
    <w:rsid w:val="005456C1"/>
    <w:rsid w:val="00545863"/>
    <w:rsid w:val="0054588E"/>
    <w:rsid w:val="00545B69"/>
    <w:rsid w:val="00545F94"/>
    <w:rsid w:val="00546210"/>
    <w:rsid w:val="0054626F"/>
    <w:rsid w:val="00546272"/>
    <w:rsid w:val="00546687"/>
    <w:rsid w:val="00546911"/>
    <w:rsid w:val="00546CED"/>
    <w:rsid w:val="00547383"/>
    <w:rsid w:val="00547486"/>
    <w:rsid w:val="005478A9"/>
    <w:rsid w:val="005479C2"/>
    <w:rsid w:val="00547F9B"/>
    <w:rsid w:val="00550073"/>
    <w:rsid w:val="00550140"/>
    <w:rsid w:val="005503D4"/>
    <w:rsid w:val="0055043E"/>
    <w:rsid w:val="0055085B"/>
    <w:rsid w:val="00550A37"/>
    <w:rsid w:val="00550A77"/>
    <w:rsid w:val="00550DC1"/>
    <w:rsid w:val="00550E05"/>
    <w:rsid w:val="00551511"/>
    <w:rsid w:val="0055186A"/>
    <w:rsid w:val="00551A09"/>
    <w:rsid w:val="00551AAE"/>
    <w:rsid w:val="00551D6D"/>
    <w:rsid w:val="00551EC9"/>
    <w:rsid w:val="00551ED5"/>
    <w:rsid w:val="0055204F"/>
    <w:rsid w:val="00552168"/>
    <w:rsid w:val="0055266D"/>
    <w:rsid w:val="00552CCB"/>
    <w:rsid w:val="00552F7A"/>
    <w:rsid w:val="00553052"/>
    <w:rsid w:val="005531EF"/>
    <w:rsid w:val="00553217"/>
    <w:rsid w:val="0055323C"/>
    <w:rsid w:val="00553365"/>
    <w:rsid w:val="005534F9"/>
    <w:rsid w:val="00553513"/>
    <w:rsid w:val="005538A0"/>
    <w:rsid w:val="00553C56"/>
    <w:rsid w:val="00553C6F"/>
    <w:rsid w:val="00553D51"/>
    <w:rsid w:val="00553E53"/>
    <w:rsid w:val="00553ECA"/>
    <w:rsid w:val="00554A3E"/>
    <w:rsid w:val="00554C1E"/>
    <w:rsid w:val="00554FDB"/>
    <w:rsid w:val="00555087"/>
    <w:rsid w:val="0055519C"/>
    <w:rsid w:val="00555297"/>
    <w:rsid w:val="00555562"/>
    <w:rsid w:val="00555766"/>
    <w:rsid w:val="005557DA"/>
    <w:rsid w:val="005558EB"/>
    <w:rsid w:val="005559B6"/>
    <w:rsid w:val="00555CBB"/>
    <w:rsid w:val="00555E88"/>
    <w:rsid w:val="00555FF7"/>
    <w:rsid w:val="005560EB"/>
    <w:rsid w:val="005562C3"/>
    <w:rsid w:val="00556390"/>
    <w:rsid w:val="0055641C"/>
    <w:rsid w:val="005566E4"/>
    <w:rsid w:val="00556770"/>
    <w:rsid w:val="00556C81"/>
    <w:rsid w:val="00556D6C"/>
    <w:rsid w:val="00556E87"/>
    <w:rsid w:val="00556EF4"/>
    <w:rsid w:val="005574B5"/>
    <w:rsid w:val="005574F9"/>
    <w:rsid w:val="00557C3E"/>
    <w:rsid w:val="00557E8B"/>
    <w:rsid w:val="00557EB6"/>
    <w:rsid w:val="00560178"/>
    <w:rsid w:val="00560720"/>
    <w:rsid w:val="005607F9"/>
    <w:rsid w:val="005609CB"/>
    <w:rsid w:val="00560A72"/>
    <w:rsid w:val="00560ACE"/>
    <w:rsid w:val="00560D1E"/>
    <w:rsid w:val="00561351"/>
    <w:rsid w:val="0056171F"/>
    <w:rsid w:val="0056188C"/>
    <w:rsid w:val="00561933"/>
    <w:rsid w:val="0056194D"/>
    <w:rsid w:val="00561A70"/>
    <w:rsid w:val="00561AC3"/>
    <w:rsid w:val="00562104"/>
    <w:rsid w:val="005623C9"/>
    <w:rsid w:val="00562459"/>
    <w:rsid w:val="005624E5"/>
    <w:rsid w:val="005625B2"/>
    <w:rsid w:val="005625DD"/>
    <w:rsid w:val="00562B4A"/>
    <w:rsid w:val="00562E65"/>
    <w:rsid w:val="005630A2"/>
    <w:rsid w:val="00563792"/>
    <w:rsid w:val="00563866"/>
    <w:rsid w:val="00563BBA"/>
    <w:rsid w:val="00563DAC"/>
    <w:rsid w:val="0056432E"/>
    <w:rsid w:val="00564677"/>
    <w:rsid w:val="00564901"/>
    <w:rsid w:val="00564C8E"/>
    <w:rsid w:val="005650F6"/>
    <w:rsid w:val="00565541"/>
    <w:rsid w:val="005659FF"/>
    <w:rsid w:val="00565C5F"/>
    <w:rsid w:val="00565D84"/>
    <w:rsid w:val="0056618E"/>
    <w:rsid w:val="0056656D"/>
    <w:rsid w:val="00566C6B"/>
    <w:rsid w:val="00567523"/>
    <w:rsid w:val="00567596"/>
    <w:rsid w:val="0056767A"/>
    <w:rsid w:val="00567A7B"/>
    <w:rsid w:val="00567C6B"/>
    <w:rsid w:val="00567D64"/>
    <w:rsid w:val="00567D8C"/>
    <w:rsid w:val="00567DF8"/>
    <w:rsid w:val="00567DF9"/>
    <w:rsid w:val="00567ED9"/>
    <w:rsid w:val="005702C6"/>
    <w:rsid w:val="00570C54"/>
    <w:rsid w:val="00570DF4"/>
    <w:rsid w:val="005712DE"/>
    <w:rsid w:val="005717DB"/>
    <w:rsid w:val="00571C37"/>
    <w:rsid w:val="00571DC9"/>
    <w:rsid w:val="00571F3E"/>
    <w:rsid w:val="005722CA"/>
    <w:rsid w:val="00572584"/>
    <w:rsid w:val="005729DF"/>
    <w:rsid w:val="005729E4"/>
    <w:rsid w:val="0057342D"/>
    <w:rsid w:val="005737B0"/>
    <w:rsid w:val="005738D8"/>
    <w:rsid w:val="00574430"/>
    <w:rsid w:val="005744F7"/>
    <w:rsid w:val="005745FD"/>
    <w:rsid w:val="00574A17"/>
    <w:rsid w:val="00574B7B"/>
    <w:rsid w:val="00574BD2"/>
    <w:rsid w:val="00574D82"/>
    <w:rsid w:val="00574F84"/>
    <w:rsid w:val="0057507A"/>
    <w:rsid w:val="005756D4"/>
    <w:rsid w:val="00575BFE"/>
    <w:rsid w:val="00575D72"/>
    <w:rsid w:val="00575ED5"/>
    <w:rsid w:val="005760C5"/>
    <w:rsid w:val="005760D2"/>
    <w:rsid w:val="0057619E"/>
    <w:rsid w:val="0057650B"/>
    <w:rsid w:val="00576608"/>
    <w:rsid w:val="0057679D"/>
    <w:rsid w:val="005767AA"/>
    <w:rsid w:val="0057685F"/>
    <w:rsid w:val="0057697C"/>
    <w:rsid w:val="00576D7A"/>
    <w:rsid w:val="0057719A"/>
    <w:rsid w:val="005771CE"/>
    <w:rsid w:val="00577367"/>
    <w:rsid w:val="00577481"/>
    <w:rsid w:val="005774A9"/>
    <w:rsid w:val="005775CF"/>
    <w:rsid w:val="00577705"/>
    <w:rsid w:val="0058003F"/>
    <w:rsid w:val="005804B5"/>
    <w:rsid w:val="005807FC"/>
    <w:rsid w:val="00580B47"/>
    <w:rsid w:val="00581295"/>
    <w:rsid w:val="00581719"/>
    <w:rsid w:val="005829BE"/>
    <w:rsid w:val="00582AA8"/>
    <w:rsid w:val="005830BC"/>
    <w:rsid w:val="00583404"/>
    <w:rsid w:val="00583736"/>
    <w:rsid w:val="00583875"/>
    <w:rsid w:val="005838EE"/>
    <w:rsid w:val="00583BDC"/>
    <w:rsid w:val="00583DF4"/>
    <w:rsid w:val="005841E7"/>
    <w:rsid w:val="005842DD"/>
    <w:rsid w:val="005842F0"/>
    <w:rsid w:val="005848E2"/>
    <w:rsid w:val="00584B80"/>
    <w:rsid w:val="00584BAF"/>
    <w:rsid w:val="00584F64"/>
    <w:rsid w:val="00584F96"/>
    <w:rsid w:val="005851B9"/>
    <w:rsid w:val="005851FD"/>
    <w:rsid w:val="00585488"/>
    <w:rsid w:val="00585769"/>
    <w:rsid w:val="0058582A"/>
    <w:rsid w:val="00585D30"/>
    <w:rsid w:val="00585EE4"/>
    <w:rsid w:val="00586474"/>
    <w:rsid w:val="00586D55"/>
    <w:rsid w:val="00586D86"/>
    <w:rsid w:val="00586E7F"/>
    <w:rsid w:val="00586F53"/>
    <w:rsid w:val="00587290"/>
    <w:rsid w:val="00587572"/>
    <w:rsid w:val="0058789C"/>
    <w:rsid w:val="005901A5"/>
    <w:rsid w:val="0059023A"/>
    <w:rsid w:val="0059084B"/>
    <w:rsid w:val="00590E88"/>
    <w:rsid w:val="00590EEE"/>
    <w:rsid w:val="00591472"/>
    <w:rsid w:val="00591B0F"/>
    <w:rsid w:val="00591DC8"/>
    <w:rsid w:val="00591F76"/>
    <w:rsid w:val="005921C6"/>
    <w:rsid w:val="005925D7"/>
    <w:rsid w:val="00592718"/>
    <w:rsid w:val="005927A5"/>
    <w:rsid w:val="00592C57"/>
    <w:rsid w:val="005931C0"/>
    <w:rsid w:val="0059328C"/>
    <w:rsid w:val="00593412"/>
    <w:rsid w:val="0059384F"/>
    <w:rsid w:val="005938FC"/>
    <w:rsid w:val="00593D9E"/>
    <w:rsid w:val="00593E29"/>
    <w:rsid w:val="005940BB"/>
    <w:rsid w:val="00594166"/>
    <w:rsid w:val="005942BF"/>
    <w:rsid w:val="00594686"/>
    <w:rsid w:val="00594970"/>
    <w:rsid w:val="00594BB2"/>
    <w:rsid w:val="00594F27"/>
    <w:rsid w:val="0059509F"/>
    <w:rsid w:val="00595356"/>
    <w:rsid w:val="005953B2"/>
    <w:rsid w:val="00595460"/>
    <w:rsid w:val="00595476"/>
    <w:rsid w:val="00595DBE"/>
    <w:rsid w:val="00595F98"/>
    <w:rsid w:val="00596039"/>
    <w:rsid w:val="0059615C"/>
    <w:rsid w:val="0059618B"/>
    <w:rsid w:val="00596277"/>
    <w:rsid w:val="0059644D"/>
    <w:rsid w:val="00596474"/>
    <w:rsid w:val="00596892"/>
    <w:rsid w:val="00596D8C"/>
    <w:rsid w:val="0059706B"/>
    <w:rsid w:val="0059733D"/>
    <w:rsid w:val="005973E1"/>
    <w:rsid w:val="00597A94"/>
    <w:rsid w:val="00597C0A"/>
    <w:rsid w:val="00597D41"/>
    <w:rsid w:val="00597DA1"/>
    <w:rsid w:val="00597DD9"/>
    <w:rsid w:val="005A0037"/>
    <w:rsid w:val="005A020F"/>
    <w:rsid w:val="005A07CE"/>
    <w:rsid w:val="005A0827"/>
    <w:rsid w:val="005A097B"/>
    <w:rsid w:val="005A0A3F"/>
    <w:rsid w:val="005A0BA4"/>
    <w:rsid w:val="005A114F"/>
    <w:rsid w:val="005A142A"/>
    <w:rsid w:val="005A15BA"/>
    <w:rsid w:val="005A15DC"/>
    <w:rsid w:val="005A19C2"/>
    <w:rsid w:val="005A214D"/>
    <w:rsid w:val="005A2564"/>
    <w:rsid w:val="005A258F"/>
    <w:rsid w:val="005A28B7"/>
    <w:rsid w:val="005A2E46"/>
    <w:rsid w:val="005A2F2A"/>
    <w:rsid w:val="005A2F67"/>
    <w:rsid w:val="005A309C"/>
    <w:rsid w:val="005A3125"/>
    <w:rsid w:val="005A3214"/>
    <w:rsid w:val="005A3278"/>
    <w:rsid w:val="005A3545"/>
    <w:rsid w:val="005A3583"/>
    <w:rsid w:val="005A39FB"/>
    <w:rsid w:val="005A3EA9"/>
    <w:rsid w:val="005A44B4"/>
    <w:rsid w:val="005A4C3B"/>
    <w:rsid w:val="005A4E66"/>
    <w:rsid w:val="005A5041"/>
    <w:rsid w:val="005A57FC"/>
    <w:rsid w:val="005A5F7D"/>
    <w:rsid w:val="005A60EF"/>
    <w:rsid w:val="005A6C2A"/>
    <w:rsid w:val="005A6C40"/>
    <w:rsid w:val="005A6F26"/>
    <w:rsid w:val="005A6F3D"/>
    <w:rsid w:val="005A7118"/>
    <w:rsid w:val="005A76B5"/>
    <w:rsid w:val="005A7856"/>
    <w:rsid w:val="005A7AF6"/>
    <w:rsid w:val="005A7F65"/>
    <w:rsid w:val="005A7F8C"/>
    <w:rsid w:val="005B0371"/>
    <w:rsid w:val="005B06BD"/>
    <w:rsid w:val="005B06C2"/>
    <w:rsid w:val="005B0866"/>
    <w:rsid w:val="005B088D"/>
    <w:rsid w:val="005B0D35"/>
    <w:rsid w:val="005B0E47"/>
    <w:rsid w:val="005B0E73"/>
    <w:rsid w:val="005B0F34"/>
    <w:rsid w:val="005B0F36"/>
    <w:rsid w:val="005B1188"/>
    <w:rsid w:val="005B1314"/>
    <w:rsid w:val="005B162E"/>
    <w:rsid w:val="005B1634"/>
    <w:rsid w:val="005B1792"/>
    <w:rsid w:val="005B195C"/>
    <w:rsid w:val="005B1BC7"/>
    <w:rsid w:val="005B267E"/>
    <w:rsid w:val="005B276F"/>
    <w:rsid w:val="005B28E6"/>
    <w:rsid w:val="005B29F9"/>
    <w:rsid w:val="005B2B61"/>
    <w:rsid w:val="005B33C0"/>
    <w:rsid w:val="005B353A"/>
    <w:rsid w:val="005B3B7D"/>
    <w:rsid w:val="005B3C2C"/>
    <w:rsid w:val="005B4079"/>
    <w:rsid w:val="005B40C5"/>
    <w:rsid w:val="005B451B"/>
    <w:rsid w:val="005B4593"/>
    <w:rsid w:val="005B46DF"/>
    <w:rsid w:val="005B4A37"/>
    <w:rsid w:val="005B4B5A"/>
    <w:rsid w:val="005B4BF8"/>
    <w:rsid w:val="005B4C58"/>
    <w:rsid w:val="005B4CEE"/>
    <w:rsid w:val="005B4EF0"/>
    <w:rsid w:val="005B4F22"/>
    <w:rsid w:val="005B54EC"/>
    <w:rsid w:val="005B5BCB"/>
    <w:rsid w:val="005B6306"/>
    <w:rsid w:val="005B63F5"/>
    <w:rsid w:val="005B67F7"/>
    <w:rsid w:val="005B69A6"/>
    <w:rsid w:val="005B6D5E"/>
    <w:rsid w:val="005B6F9B"/>
    <w:rsid w:val="005B712B"/>
    <w:rsid w:val="005B738B"/>
    <w:rsid w:val="005B73D5"/>
    <w:rsid w:val="005B7464"/>
    <w:rsid w:val="005B77FA"/>
    <w:rsid w:val="005B7C71"/>
    <w:rsid w:val="005B7C72"/>
    <w:rsid w:val="005B7CB7"/>
    <w:rsid w:val="005C0106"/>
    <w:rsid w:val="005C0359"/>
    <w:rsid w:val="005C0A8A"/>
    <w:rsid w:val="005C0FE4"/>
    <w:rsid w:val="005C0FE8"/>
    <w:rsid w:val="005C101B"/>
    <w:rsid w:val="005C113C"/>
    <w:rsid w:val="005C11B4"/>
    <w:rsid w:val="005C13D3"/>
    <w:rsid w:val="005C1AFA"/>
    <w:rsid w:val="005C1C5F"/>
    <w:rsid w:val="005C2015"/>
    <w:rsid w:val="005C244C"/>
    <w:rsid w:val="005C253E"/>
    <w:rsid w:val="005C2590"/>
    <w:rsid w:val="005C25DB"/>
    <w:rsid w:val="005C2BDE"/>
    <w:rsid w:val="005C30D1"/>
    <w:rsid w:val="005C35AE"/>
    <w:rsid w:val="005C368A"/>
    <w:rsid w:val="005C36E5"/>
    <w:rsid w:val="005C374F"/>
    <w:rsid w:val="005C3D9C"/>
    <w:rsid w:val="005C3E5F"/>
    <w:rsid w:val="005C3E7A"/>
    <w:rsid w:val="005C3F39"/>
    <w:rsid w:val="005C4212"/>
    <w:rsid w:val="005C43D7"/>
    <w:rsid w:val="005C497C"/>
    <w:rsid w:val="005C4C86"/>
    <w:rsid w:val="005C4F77"/>
    <w:rsid w:val="005C51AD"/>
    <w:rsid w:val="005C5264"/>
    <w:rsid w:val="005C5914"/>
    <w:rsid w:val="005C5F5D"/>
    <w:rsid w:val="005C60F6"/>
    <w:rsid w:val="005C65DA"/>
    <w:rsid w:val="005C66F8"/>
    <w:rsid w:val="005C697C"/>
    <w:rsid w:val="005C6B91"/>
    <w:rsid w:val="005C7076"/>
    <w:rsid w:val="005C71B6"/>
    <w:rsid w:val="005C7250"/>
    <w:rsid w:val="005C74F8"/>
    <w:rsid w:val="005C792F"/>
    <w:rsid w:val="005C7AB1"/>
    <w:rsid w:val="005C7B46"/>
    <w:rsid w:val="005C7C6C"/>
    <w:rsid w:val="005C7DC8"/>
    <w:rsid w:val="005D0894"/>
    <w:rsid w:val="005D0BDB"/>
    <w:rsid w:val="005D0CD6"/>
    <w:rsid w:val="005D10A6"/>
    <w:rsid w:val="005D1136"/>
    <w:rsid w:val="005D165D"/>
    <w:rsid w:val="005D1C72"/>
    <w:rsid w:val="005D1CC7"/>
    <w:rsid w:val="005D1ED2"/>
    <w:rsid w:val="005D22D2"/>
    <w:rsid w:val="005D24E9"/>
    <w:rsid w:val="005D25A2"/>
    <w:rsid w:val="005D2787"/>
    <w:rsid w:val="005D2F05"/>
    <w:rsid w:val="005D3091"/>
    <w:rsid w:val="005D3454"/>
    <w:rsid w:val="005D3848"/>
    <w:rsid w:val="005D3916"/>
    <w:rsid w:val="005D396E"/>
    <w:rsid w:val="005D3C2F"/>
    <w:rsid w:val="005D3CF7"/>
    <w:rsid w:val="005D41C1"/>
    <w:rsid w:val="005D42AC"/>
    <w:rsid w:val="005D4359"/>
    <w:rsid w:val="005D4D4E"/>
    <w:rsid w:val="005D53DF"/>
    <w:rsid w:val="005D54E9"/>
    <w:rsid w:val="005D56FB"/>
    <w:rsid w:val="005D5847"/>
    <w:rsid w:val="005D5970"/>
    <w:rsid w:val="005D5C8F"/>
    <w:rsid w:val="005D5E7E"/>
    <w:rsid w:val="005D631F"/>
    <w:rsid w:val="005D6432"/>
    <w:rsid w:val="005D6447"/>
    <w:rsid w:val="005D64F4"/>
    <w:rsid w:val="005D65BA"/>
    <w:rsid w:val="005D688C"/>
    <w:rsid w:val="005D68F2"/>
    <w:rsid w:val="005D6987"/>
    <w:rsid w:val="005D758B"/>
    <w:rsid w:val="005D76AA"/>
    <w:rsid w:val="005D791E"/>
    <w:rsid w:val="005D7AA9"/>
    <w:rsid w:val="005D7BED"/>
    <w:rsid w:val="005D7BF7"/>
    <w:rsid w:val="005D7C9B"/>
    <w:rsid w:val="005D7F6C"/>
    <w:rsid w:val="005E034A"/>
    <w:rsid w:val="005E0408"/>
    <w:rsid w:val="005E07E4"/>
    <w:rsid w:val="005E0A26"/>
    <w:rsid w:val="005E0AB0"/>
    <w:rsid w:val="005E0CC5"/>
    <w:rsid w:val="005E1727"/>
    <w:rsid w:val="005E1B37"/>
    <w:rsid w:val="005E1C7A"/>
    <w:rsid w:val="005E1C99"/>
    <w:rsid w:val="005E1E91"/>
    <w:rsid w:val="005E1EE3"/>
    <w:rsid w:val="005E1EF1"/>
    <w:rsid w:val="005E2106"/>
    <w:rsid w:val="005E28BB"/>
    <w:rsid w:val="005E2C79"/>
    <w:rsid w:val="005E2ECC"/>
    <w:rsid w:val="005E2F7F"/>
    <w:rsid w:val="005E2FC6"/>
    <w:rsid w:val="005E34F0"/>
    <w:rsid w:val="005E35D8"/>
    <w:rsid w:val="005E37F8"/>
    <w:rsid w:val="005E40E4"/>
    <w:rsid w:val="005E4214"/>
    <w:rsid w:val="005E4805"/>
    <w:rsid w:val="005E480B"/>
    <w:rsid w:val="005E48B3"/>
    <w:rsid w:val="005E4C4B"/>
    <w:rsid w:val="005E4DD3"/>
    <w:rsid w:val="005E5548"/>
    <w:rsid w:val="005E5AB4"/>
    <w:rsid w:val="005E6055"/>
    <w:rsid w:val="005E6396"/>
    <w:rsid w:val="005E64D2"/>
    <w:rsid w:val="005E6753"/>
    <w:rsid w:val="005E67A8"/>
    <w:rsid w:val="005E6A79"/>
    <w:rsid w:val="005E6EC5"/>
    <w:rsid w:val="005E7060"/>
    <w:rsid w:val="005E753B"/>
    <w:rsid w:val="005E75CA"/>
    <w:rsid w:val="005E7825"/>
    <w:rsid w:val="005E7BFE"/>
    <w:rsid w:val="005E7C79"/>
    <w:rsid w:val="005E7F2A"/>
    <w:rsid w:val="005E7F5B"/>
    <w:rsid w:val="005E7FF4"/>
    <w:rsid w:val="005F099A"/>
    <w:rsid w:val="005F0ED8"/>
    <w:rsid w:val="005F0ED9"/>
    <w:rsid w:val="005F0F80"/>
    <w:rsid w:val="005F0FCC"/>
    <w:rsid w:val="005F0FF0"/>
    <w:rsid w:val="005F15D9"/>
    <w:rsid w:val="005F1684"/>
    <w:rsid w:val="005F18C9"/>
    <w:rsid w:val="005F1B3E"/>
    <w:rsid w:val="005F1E48"/>
    <w:rsid w:val="005F242D"/>
    <w:rsid w:val="005F274E"/>
    <w:rsid w:val="005F298E"/>
    <w:rsid w:val="005F2A3E"/>
    <w:rsid w:val="005F2ACF"/>
    <w:rsid w:val="005F2F51"/>
    <w:rsid w:val="005F2F8F"/>
    <w:rsid w:val="005F356B"/>
    <w:rsid w:val="005F3611"/>
    <w:rsid w:val="005F3674"/>
    <w:rsid w:val="005F36A7"/>
    <w:rsid w:val="005F36CE"/>
    <w:rsid w:val="005F3904"/>
    <w:rsid w:val="005F3993"/>
    <w:rsid w:val="005F3BD8"/>
    <w:rsid w:val="005F3C10"/>
    <w:rsid w:val="005F400D"/>
    <w:rsid w:val="005F41DC"/>
    <w:rsid w:val="005F44C8"/>
    <w:rsid w:val="005F46C7"/>
    <w:rsid w:val="005F4782"/>
    <w:rsid w:val="005F4BF2"/>
    <w:rsid w:val="005F4ED7"/>
    <w:rsid w:val="005F4F36"/>
    <w:rsid w:val="005F4F89"/>
    <w:rsid w:val="005F55E5"/>
    <w:rsid w:val="005F5719"/>
    <w:rsid w:val="005F592E"/>
    <w:rsid w:val="005F5E5D"/>
    <w:rsid w:val="005F5F9B"/>
    <w:rsid w:val="005F60D9"/>
    <w:rsid w:val="005F6486"/>
    <w:rsid w:val="005F6620"/>
    <w:rsid w:val="005F6FFD"/>
    <w:rsid w:val="005F704A"/>
    <w:rsid w:val="005F73DB"/>
    <w:rsid w:val="005F7543"/>
    <w:rsid w:val="005F76EB"/>
    <w:rsid w:val="005F79CD"/>
    <w:rsid w:val="005F7B28"/>
    <w:rsid w:val="005F7CEB"/>
    <w:rsid w:val="005F7D4E"/>
    <w:rsid w:val="005F7D54"/>
    <w:rsid w:val="005F7FAD"/>
    <w:rsid w:val="0060018B"/>
    <w:rsid w:val="00601114"/>
    <w:rsid w:val="006016FA"/>
    <w:rsid w:val="006018BC"/>
    <w:rsid w:val="00601A97"/>
    <w:rsid w:val="00601EF9"/>
    <w:rsid w:val="006021BD"/>
    <w:rsid w:val="00602212"/>
    <w:rsid w:val="006022FE"/>
    <w:rsid w:val="00602750"/>
    <w:rsid w:val="00602821"/>
    <w:rsid w:val="00602865"/>
    <w:rsid w:val="00602893"/>
    <w:rsid w:val="006028CF"/>
    <w:rsid w:val="00602BE0"/>
    <w:rsid w:val="00602D2F"/>
    <w:rsid w:val="00602E0F"/>
    <w:rsid w:val="00603169"/>
    <w:rsid w:val="00603408"/>
    <w:rsid w:val="00603825"/>
    <w:rsid w:val="00603DAF"/>
    <w:rsid w:val="00604914"/>
    <w:rsid w:val="00604AF6"/>
    <w:rsid w:val="00604C28"/>
    <w:rsid w:val="00604DE7"/>
    <w:rsid w:val="00605242"/>
    <w:rsid w:val="0060528F"/>
    <w:rsid w:val="006053FC"/>
    <w:rsid w:val="0060545A"/>
    <w:rsid w:val="00605660"/>
    <w:rsid w:val="006057D0"/>
    <w:rsid w:val="00605B8F"/>
    <w:rsid w:val="00605BA1"/>
    <w:rsid w:val="00605C2D"/>
    <w:rsid w:val="00605E81"/>
    <w:rsid w:val="0060623A"/>
    <w:rsid w:val="00606447"/>
    <w:rsid w:val="00606759"/>
    <w:rsid w:val="00606888"/>
    <w:rsid w:val="00606ADC"/>
    <w:rsid w:val="0060717F"/>
    <w:rsid w:val="00607236"/>
    <w:rsid w:val="006073F2"/>
    <w:rsid w:val="0060746F"/>
    <w:rsid w:val="00607B89"/>
    <w:rsid w:val="00607CA5"/>
    <w:rsid w:val="00610317"/>
    <w:rsid w:val="006104F1"/>
    <w:rsid w:val="006107BD"/>
    <w:rsid w:val="006108AD"/>
    <w:rsid w:val="0061098F"/>
    <w:rsid w:val="00610AA2"/>
    <w:rsid w:val="00610BD0"/>
    <w:rsid w:val="00610E12"/>
    <w:rsid w:val="006110E6"/>
    <w:rsid w:val="00611476"/>
    <w:rsid w:val="00611646"/>
    <w:rsid w:val="00612501"/>
    <w:rsid w:val="006128F5"/>
    <w:rsid w:val="00612C83"/>
    <w:rsid w:val="00612D60"/>
    <w:rsid w:val="006140D6"/>
    <w:rsid w:val="006142B7"/>
    <w:rsid w:val="00614334"/>
    <w:rsid w:val="00614422"/>
    <w:rsid w:val="00614A89"/>
    <w:rsid w:val="00614B47"/>
    <w:rsid w:val="00614B98"/>
    <w:rsid w:val="00615BED"/>
    <w:rsid w:val="00615CD5"/>
    <w:rsid w:val="00615D68"/>
    <w:rsid w:val="00616043"/>
    <w:rsid w:val="006163E1"/>
    <w:rsid w:val="00616592"/>
    <w:rsid w:val="006166CA"/>
    <w:rsid w:val="00616902"/>
    <w:rsid w:val="00616BB1"/>
    <w:rsid w:val="00616FF3"/>
    <w:rsid w:val="0061708D"/>
    <w:rsid w:val="006170A2"/>
    <w:rsid w:val="00617330"/>
    <w:rsid w:val="006175E5"/>
    <w:rsid w:val="0061795E"/>
    <w:rsid w:val="00617A5F"/>
    <w:rsid w:val="00617FF4"/>
    <w:rsid w:val="006201FF"/>
    <w:rsid w:val="00620402"/>
    <w:rsid w:val="00620424"/>
    <w:rsid w:val="006204B3"/>
    <w:rsid w:val="006206EB"/>
    <w:rsid w:val="00620828"/>
    <w:rsid w:val="006209A2"/>
    <w:rsid w:val="0062169A"/>
    <w:rsid w:val="0062172B"/>
    <w:rsid w:val="00621B02"/>
    <w:rsid w:val="00621E48"/>
    <w:rsid w:val="00621F8F"/>
    <w:rsid w:val="00621FBA"/>
    <w:rsid w:val="006220A2"/>
    <w:rsid w:val="006220B5"/>
    <w:rsid w:val="00622D5F"/>
    <w:rsid w:val="00622F66"/>
    <w:rsid w:val="00623256"/>
    <w:rsid w:val="00623D15"/>
    <w:rsid w:val="006242C9"/>
    <w:rsid w:val="00624506"/>
    <w:rsid w:val="00624518"/>
    <w:rsid w:val="006245C8"/>
    <w:rsid w:val="0062477E"/>
    <w:rsid w:val="00624AAC"/>
    <w:rsid w:val="00624BBC"/>
    <w:rsid w:val="00624F29"/>
    <w:rsid w:val="00625115"/>
    <w:rsid w:val="00625144"/>
    <w:rsid w:val="00625457"/>
    <w:rsid w:val="00625789"/>
    <w:rsid w:val="00626890"/>
    <w:rsid w:val="00626B5A"/>
    <w:rsid w:val="00626DC7"/>
    <w:rsid w:val="0062729B"/>
    <w:rsid w:val="006272CB"/>
    <w:rsid w:val="0062752E"/>
    <w:rsid w:val="0062753E"/>
    <w:rsid w:val="00627EEB"/>
    <w:rsid w:val="0063038F"/>
    <w:rsid w:val="006303E8"/>
    <w:rsid w:val="006304D0"/>
    <w:rsid w:val="006306D7"/>
    <w:rsid w:val="0063087C"/>
    <w:rsid w:val="00631648"/>
    <w:rsid w:val="0063198E"/>
    <w:rsid w:val="00631F8C"/>
    <w:rsid w:val="0063204B"/>
    <w:rsid w:val="006320A1"/>
    <w:rsid w:val="006323C1"/>
    <w:rsid w:val="00632725"/>
    <w:rsid w:val="00632728"/>
    <w:rsid w:val="00632C9D"/>
    <w:rsid w:val="00632DA0"/>
    <w:rsid w:val="006333AA"/>
    <w:rsid w:val="0063373F"/>
    <w:rsid w:val="006338B2"/>
    <w:rsid w:val="006340CD"/>
    <w:rsid w:val="00634306"/>
    <w:rsid w:val="00634895"/>
    <w:rsid w:val="00634A4F"/>
    <w:rsid w:val="00634CA1"/>
    <w:rsid w:val="0063504A"/>
    <w:rsid w:val="0063559E"/>
    <w:rsid w:val="00635A08"/>
    <w:rsid w:val="00635AE6"/>
    <w:rsid w:val="00635B02"/>
    <w:rsid w:val="00635F53"/>
    <w:rsid w:val="00635F83"/>
    <w:rsid w:val="006362E9"/>
    <w:rsid w:val="006364A7"/>
    <w:rsid w:val="006366E3"/>
    <w:rsid w:val="00636A18"/>
    <w:rsid w:val="00636A5E"/>
    <w:rsid w:val="00636CAF"/>
    <w:rsid w:val="00636E1F"/>
    <w:rsid w:val="00636F9E"/>
    <w:rsid w:val="006372AD"/>
    <w:rsid w:val="0063757F"/>
    <w:rsid w:val="006375AA"/>
    <w:rsid w:val="00637B5D"/>
    <w:rsid w:val="00637CF2"/>
    <w:rsid w:val="00637D40"/>
    <w:rsid w:val="00637DA2"/>
    <w:rsid w:val="00640093"/>
    <w:rsid w:val="00640222"/>
    <w:rsid w:val="00640625"/>
    <w:rsid w:val="006407C9"/>
    <w:rsid w:val="0064080F"/>
    <w:rsid w:val="00640A02"/>
    <w:rsid w:val="00640C66"/>
    <w:rsid w:val="00640C8D"/>
    <w:rsid w:val="00640D71"/>
    <w:rsid w:val="006411D1"/>
    <w:rsid w:val="006412BF"/>
    <w:rsid w:val="0064138C"/>
    <w:rsid w:val="0064167E"/>
    <w:rsid w:val="00641A87"/>
    <w:rsid w:val="00641C56"/>
    <w:rsid w:val="00641C65"/>
    <w:rsid w:val="00641FE9"/>
    <w:rsid w:val="006423A7"/>
    <w:rsid w:val="006423DF"/>
    <w:rsid w:val="00642611"/>
    <w:rsid w:val="0064262D"/>
    <w:rsid w:val="00642AFB"/>
    <w:rsid w:val="00642C1E"/>
    <w:rsid w:val="00642DD7"/>
    <w:rsid w:val="006431A8"/>
    <w:rsid w:val="0064357E"/>
    <w:rsid w:val="006436CA"/>
    <w:rsid w:val="00643881"/>
    <w:rsid w:val="006438ED"/>
    <w:rsid w:val="00643968"/>
    <w:rsid w:val="006439EF"/>
    <w:rsid w:val="00643BC8"/>
    <w:rsid w:val="00643BE0"/>
    <w:rsid w:val="00643C49"/>
    <w:rsid w:val="00644200"/>
    <w:rsid w:val="006442AD"/>
    <w:rsid w:val="00644400"/>
    <w:rsid w:val="006446FD"/>
    <w:rsid w:val="00644805"/>
    <w:rsid w:val="00644AF6"/>
    <w:rsid w:val="00644B6A"/>
    <w:rsid w:val="006452CE"/>
    <w:rsid w:val="00645331"/>
    <w:rsid w:val="006458E7"/>
    <w:rsid w:val="0064599D"/>
    <w:rsid w:val="006460B9"/>
    <w:rsid w:val="006461B0"/>
    <w:rsid w:val="0064621A"/>
    <w:rsid w:val="006463E5"/>
    <w:rsid w:val="0064640C"/>
    <w:rsid w:val="00646603"/>
    <w:rsid w:val="0064665F"/>
    <w:rsid w:val="006467C1"/>
    <w:rsid w:val="00646943"/>
    <w:rsid w:val="00646A87"/>
    <w:rsid w:val="00646B1F"/>
    <w:rsid w:val="00646E21"/>
    <w:rsid w:val="00646F1B"/>
    <w:rsid w:val="0064711E"/>
    <w:rsid w:val="006472C5"/>
    <w:rsid w:val="006472F7"/>
    <w:rsid w:val="0064762B"/>
    <w:rsid w:val="0064775E"/>
    <w:rsid w:val="00647830"/>
    <w:rsid w:val="00647864"/>
    <w:rsid w:val="00647878"/>
    <w:rsid w:val="00647A8A"/>
    <w:rsid w:val="00647BD1"/>
    <w:rsid w:val="00650D69"/>
    <w:rsid w:val="00650F3D"/>
    <w:rsid w:val="00650FCE"/>
    <w:rsid w:val="00651027"/>
    <w:rsid w:val="006511F6"/>
    <w:rsid w:val="006512AF"/>
    <w:rsid w:val="00651DED"/>
    <w:rsid w:val="00652018"/>
    <w:rsid w:val="00652604"/>
    <w:rsid w:val="0065262E"/>
    <w:rsid w:val="00652B97"/>
    <w:rsid w:val="00652ED2"/>
    <w:rsid w:val="00652F7F"/>
    <w:rsid w:val="0065358D"/>
    <w:rsid w:val="00653BFF"/>
    <w:rsid w:val="006540D7"/>
    <w:rsid w:val="006540ED"/>
    <w:rsid w:val="00654165"/>
    <w:rsid w:val="00654370"/>
    <w:rsid w:val="00654611"/>
    <w:rsid w:val="006548F0"/>
    <w:rsid w:val="00654AB7"/>
    <w:rsid w:val="0065522D"/>
    <w:rsid w:val="00655263"/>
    <w:rsid w:val="0065551B"/>
    <w:rsid w:val="00655593"/>
    <w:rsid w:val="0065582E"/>
    <w:rsid w:val="0065595A"/>
    <w:rsid w:val="00655C2D"/>
    <w:rsid w:val="00655F59"/>
    <w:rsid w:val="006560CF"/>
    <w:rsid w:val="0065616F"/>
    <w:rsid w:val="00656253"/>
    <w:rsid w:val="00656397"/>
    <w:rsid w:val="006566DE"/>
    <w:rsid w:val="0065680C"/>
    <w:rsid w:val="00656937"/>
    <w:rsid w:val="00656A04"/>
    <w:rsid w:val="00656E46"/>
    <w:rsid w:val="00656EA2"/>
    <w:rsid w:val="00656F27"/>
    <w:rsid w:val="00656F5D"/>
    <w:rsid w:val="00656F8F"/>
    <w:rsid w:val="006572D3"/>
    <w:rsid w:val="0065730A"/>
    <w:rsid w:val="006578AB"/>
    <w:rsid w:val="00657C1E"/>
    <w:rsid w:val="006606DB"/>
    <w:rsid w:val="006609A4"/>
    <w:rsid w:val="006609BC"/>
    <w:rsid w:val="00660ADB"/>
    <w:rsid w:val="00660B8D"/>
    <w:rsid w:val="00660D90"/>
    <w:rsid w:val="00660F41"/>
    <w:rsid w:val="006613F1"/>
    <w:rsid w:val="006613F2"/>
    <w:rsid w:val="0066146F"/>
    <w:rsid w:val="00661B3E"/>
    <w:rsid w:val="00661EE7"/>
    <w:rsid w:val="006620FB"/>
    <w:rsid w:val="0066216D"/>
    <w:rsid w:val="006623D1"/>
    <w:rsid w:val="006623ED"/>
    <w:rsid w:val="006626CC"/>
    <w:rsid w:val="0066332C"/>
    <w:rsid w:val="00663390"/>
    <w:rsid w:val="00663584"/>
    <w:rsid w:val="00663A76"/>
    <w:rsid w:val="00663CB5"/>
    <w:rsid w:val="00663E96"/>
    <w:rsid w:val="00663F4A"/>
    <w:rsid w:val="006640A6"/>
    <w:rsid w:val="0066434E"/>
    <w:rsid w:val="0066494A"/>
    <w:rsid w:val="0066498B"/>
    <w:rsid w:val="00664A31"/>
    <w:rsid w:val="00664A9C"/>
    <w:rsid w:val="00664DC6"/>
    <w:rsid w:val="00664E46"/>
    <w:rsid w:val="00664F54"/>
    <w:rsid w:val="00665123"/>
    <w:rsid w:val="006652DD"/>
    <w:rsid w:val="00665703"/>
    <w:rsid w:val="00665757"/>
    <w:rsid w:val="00665763"/>
    <w:rsid w:val="00665DB8"/>
    <w:rsid w:val="00665F03"/>
    <w:rsid w:val="00665F91"/>
    <w:rsid w:val="0066635A"/>
    <w:rsid w:val="00666695"/>
    <w:rsid w:val="00666843"/>
    <w:rsid w:val="00666C20"/>
    <w:rsid w:val="00666E07"/>
    <w:rsid w:val="00666F04"/>
    <w:rsid w:val="00666F2F"/>
    <w:rsid w:val="00666FB1"/>
    <w:rsid w:val="00667164"/>
    <w:rsid w:val="006671E9"/>
    <w:rsid w:val="00667518"/>
    <w:rsid w:val="00667782"/>
    <w:rsid w:val="00667948"/>
    <w:rsid w:val="006679E7"/>
    <w:rsid w:val="00667A66"/>
    <w:rsid w:val="00667AD0"/>
    <w:rsid w:val="00667E46"/>
    <w:rsid w:val="00667EF4"/>
    <w:rsid w:val="00670123"/>
    <w:rsid w:val="00670604"/>
    <w:rsid w:val="006706CF"/>
    <w:rsid w:val="0067099F"/>
    <w:rsid w:val="00670A3C"/>
    <w:rsid w:val="00670D2A"/>
    <w:rsid w:val="00670D45"/>
    <w:rsid w:val="00670F5A"/>
    <w:rsid w:val="00671121"/>
    <w:rsid w:val="0067134D"/>
    <w:rsid w:val="0067158E"/>
    <w:rsid w:val="0067159A"/>
    <w:rsid w:val="0067166F"/>
    <w:rsid w:val="00671A22"/>
    <w:rsid w:val="00671B57"/>
    <w:rsid w:val="00671D20"/>
    <w:rsid w:val="00671D5F"/>
    <w:rsid w:val="00671E6D"/>
    <w:rsid w:val="00671F0D"/>
    <w:rsid w:val="00671FFD"/>
    <w:rsid w:val="006720F5"/>
    <w:rsid w:val="00672500"/>
    <w:rsid w:val="00672B4A"/>
    <w:rsid w:val="00672BF1"/>
    <w:rsid w:val="0067317C"/>
    <w:rsid w:val="0067324F"/>
    <w:rsid w:val="006732A6"/>
    <w:rsid w:val="00673408"/>
    <w:rsid w:val="00673542"/>
    <w:rsid w:val="0067363A"/>
    <w:rsid w:val="00673678"/>
    <w:rsid w:val="00673737"/>
    <w:rsid w:val="006739F3"/>
    <w:rsid w:val="00673B53"/>
    <w:rsid w:val="00673FCD"/>
    <w:rsid w:val="00673FE5"/>
    <w:rsid w:val="00673FF7"/>
    <w:rsid w:val="00674020"/>
    <w:rsid w:val="00674063"/>
    <w:rsid w:val="00674238"/>
    <w:rsid w:val="0067442C"/>
    <w:rsid w:val="00674CEC"/>
    <w:rsid w:val="00674CFF"/>
    <w:rsid w:val="00674D49"/>
    <w:rsid w:val="00674D8A"/>
    <w:rsid w:val="006751FF"/>
    <w:rsid w:val="00675328"/>
    <w:rsid w:val="00675341"/>
    <w:rsid w:val="00675343"/>
    <w:rsid w:val="00675569"/>
    <w:rsid w:val="00675788"/>
    <w:rsid w:val="006757F2"/>
    <w:rsid w:val="00675930"/>
    <w:rsid w:val="006759F7"/>
    <w:rsid w:val="00675A7A"/>
    <w:rsid w:val="00675F8D"/>
    <w:rsid w:val="00676002"/>
    <w:rsid w:val="0067627B"/>
    <w:rsid w:val="0067634C"/>
    <w:rsid w:val="00676558"/>
    <w:rsid w:val="006767BC"/>
    <w:rsid w:val="00676B84"/>
    <w:rsid w:val="00676F94"/>
    <w:rsid w:val="00677577"/>
    <w:rsid w:val="0067779F"/>
    <w:rsid w:val="00677B20"/>
    <w:rsid w:val="00677E83"/>
    <w:rsid w:val="006806CE"/>
    <w:rsid w:val="006808A9"/>
    <w:rsid w:val="006808EB"/>
    <w:rsid w:val="00680A14"/>
    <w:rsid w:val="00680A79"/>
    <w:rsid w:val="00680FE4"/>
    <w:rsid w:val="0068107E"/>
    <w:rsid w:val="00681132"/>
    <w:rsid w:val="006812D5"/>
    <w:rsid w:val="006812EE"/>
    <w:rsid w:val="00681429"/>
    <w:rsid w:val="0068165D"/>
    <w:rsid w:val="00681A47"/>
    <w:rsid w:val="00681C46"/>
    <w:rsid w:val="00681CA0"/>
    <w:rsid w:val="00681CF7"/>
    <w:rsid w:val="0068299F"/>
    <w:rsid w:val="00682F73"/>
    <w:rsid w:val="00682FD8"/>
    <w:rsid w:val="0068302C"/>
    <w:rsid w:val="006831DA"/>
    <w:rsid w:val="006832A1"/>
    <w:rsid w:val="0068353E"/>
    <w:rsid w:val="006838CC"/>
    <w:rsid w:val="006838E0"/>
    <w:rsid w:val="00683E93"/>
    <w:rsid w:val="00684172"/>
    <w:rsid w:val="0068483D"/>
    <w:rsid w:val="00684D2D"/>
    <w:rsid w:val="00684EBC"/>
    <w:rsid w:val="00685190"/>
    <w:rsid w:val="00685297"/>
    <w:rsid w:val="006859DA"/>
    <w:rsid w:val="00685B62"/>
    <w:rsid w:val="00685D7C"/>
    <w:rsid w:val="00686324"/>
    <w:rsid w:val="006863C9"/>
    <w:rsid w:val="00686915"/>
    <w:rsid w:val="00687605"/>
    <w:rsid w:val="0068763E"/>
    <w:rsid w:val="0068766C"/>
    <w:rsid w:val="00687912"/>
    <w:rsid w:val="00687921"/>
    <w:rsid w:val="006879D7"/>
    <w:rsid w:val="006901FF"/>
    <w:rsid w:val="006904FF"/>
    <w:rsid w:val="00690AE4"/>
    <w:rsid w:val="00690B21"/>
    <w:rsid w:val="00690D75"/>
    <w:rsid w:val="00690D7C"/>
    <w:rsid w:val="00690DB1"/>
    <w:rsid w:val="00690F74"/>
    <w:rsid w:val="006910B5"/>
    <w:rsid w:val="006911F8"/>
    <w:rsid w:val="00691305"/>
    <w:rsid w:val="0069162C"/>
    <w:rsid w:val="00691BAB"/>
    <w:rsid w:val="00691F75"/>
    <w:rsid w:val="0069237B"/>
    <w:rsid w:val="00692684"/>
    <w:rsid w:val="00692DCC"/>
    <w:rsid w:val="00692DD4"/>
    <w:rsid w:val="00693109"/>
    <w:rsid w:val="00693198"/>
    <w:rsid w:val="00693358"/>
    <w:rsid w:val="00693393"/>
    <w:rsid w:val="0069342E"/>
    <w:rsid w:val="006937FB"/>
    <w:rsid w:val="006938B8"/>
    <w:rsid w:val="00693B07"/>
    <w:rsid w:val="00693CA3"/>
    <w:rsid w:val="00694220"/>
    <w:rsid w:val="00694315"/>
    <w:rsid w:val="006944AE"/>
    <w:rsid w:val="006946B6"/>
    <w:rsid w:val="00694D49"/>
    <w:rsid w:val="00694FE2"/>
    <w:rsid w:val="0069513A"/>
    <w:rsid w:val="006952A3"/>
    <w:rsid w:val="006952AB"/>
    <w:rsid w:val="0069534B"/>
    <w:rsid w:val="00695564"/>
    <w:rsid w:val="00695F1A"/>
    <w:rsid w:val="00695F46"/>
    <w:rsid w:val="00695FAA"/>
    <w:rsid w:val="00696144"/>
    <w:rsid w:val="00696380"/>
    <w:rsid w:val="0069648A"/>
    <w:rsid w:val="006967D2"/>
    <w:rsid w:val="00696821"/>
    <w:rsid w:val="00696948"/>
    <w:rsid w:val="006969EE"/>
    <w:rsid w:val="00696B82"/>
    <w:rsid w:val="00696B8F"/>
    <w:rsid w:val="006970B9"/>
    <w:rsid w:val="006971F2"/>
    <w:rsid w:val="00697320"/>
    <w:rsid w:val="006976E7"/>
    <w:rsid w:val="0069799F"/>
    <w:rsid w:val="006979F1"/>
    <w:rsid w:val="006A0466"/>
    <w:rsid w:val="006A0581"/>
    <w:rsid w:val="006A05A3"/>
    <w:rsid w:val="006A0880"/>
    <w:rsid w:val="006A098A"/>
    <w:rsid w:val="006A09F2"/>
    <w:rsid w:val="006A0A88"/>
    <w:rsid w:val="006A0DA4"/>
    <w:rsid w:val="006A0FF3"/>
    <w:rsid w:val="006A1609"/>
    <w:rsid w:val="006A1638"/>
    <w:rsid w:val="006A2024"/>
    <w:rsid w:val="006A21AA"/>
    <w:rsid w:val="006A2320"/>
    <w:rsid w:val="006A2400"/>
    <w:rsid w:val="006A35B5"/>
    <w:rsid w:val="006A35F9"/>
    <w:rsid w:val="006A3842"/>
    <w:rsid w:val="006A3B94"/>
    <w:rsid w:val="006A3C1D"/>
    <w:rsid w:val="006A4628"/>
    <w:rsid w:val="006A46B2"/>
    <w:rsid w:val="006A51C0"/>
    <w:rsid w:val="006A58CE"/>
    <w:rsid w:val="006A5972"/>
    <w:rsid w:val="006A5D64"/>
    <w:rsid w:val="006A630B"/>
    <w:rsid w:val="006A64C9"/>
    <w:rsid w:val="006A65C3"/>
    <w:rsid w:val="006A6785"/>
    <w:rsid w:val="006A690A"/>
    <w:rsid w:val="006A69C4"/>
    <w:rsid w:val="006A6AB2"/>
    <w:rsid w:val="006A6CA3"/>
    <w:rsid w:val="006A6CB0"/>
    <w:rsid w:val="006A6EF2"/>
    <w:rsid w:val="006A7159"/>
    <w:rsid w:val="006A72CC"/>
    <w:rsid w:val="006A7983"/>
    <w:rsid w:val="006A7F19"/>
    <w:rsid w:val="006B01E2"/>
    <w:rsid w:val="006B02E3"/>
    <w:rsid w:val="006B03B0"/>
    <w:rsid w:val="006B06AF"/>
    <w:rsid w:val="006B0880"/>
    <w:rsid w:val="006B0C04"/>
    <w:rsid w:val="006B1293"/>
    <w:rsid w:val="006B137F"/>
    <w:rsid w:val="006B1465"/>
    <w:rsid w:val="006B169B"/>
    <w:rsid w:val="006B1900"/>
    <w:rsid w:val="006B1E7B"/>
    <w:rsid w:val="006B1F3A"/>
    <w:rsid w:val="006B209E"/>
    <w:rsid w:val="006B25EF"/>
    <w:rsid w:val="006B2726"/>
    <w:rsid w:val="006B2874"/>
    <w:rsid w:val="006B2AF4"/>
    <w:rsid w:val="006B2B9F"/>
    <w:rsid w:val="006B2CFF"/>
    <w:rsid w:val="006B3087"/>
    <w:rsid w:val="006B37A0"/>
    <w:rsid w:val="006B3977"/>
    <w:rsid w:val="006B3D4E"/>
    <w:rsid w:val="006B4203"/>
    <w:rsid w:val="006B4268"/>
    <w:rsid w:val="006B4301"/>
    <w:rsid w:val="006B4412"/>
    <w:rsid w:val="006B4435"/>
    <w:rsid w:val="006B4AE2"/>
    <w:rsid w:val="006B4AF9"/>
    <w:rsid w:val="006B4CCD"/>
    <w:rsid w:val="006B503D"/>
    <w:rsid w:val="006B528F"/>
    <w:rsid w:val="006B538A"/>
    <w:rsid w:val="006B54B0"/>
    <w:rsid w:val="006B575E"/>
    <w:rsid w:val="006B5873"/>
    <w:rsid w:val="006B5DAE"/>
    <w:rsid w:val="006B5FF5"/>
    <w:rsid w:val="006B6226"/>
    <w:rsid w:val="006B6234"/>
    <w:rsid w:val="006B64B4"/>
    <w:rsid w:val="006B6518"/>
    <w:rsid w:val="006B656E"/>
    <w:rsid w:val="006B6695"/>
    <w:rsid w:val="006B6E8A"/>
    <w:rsid w:val="006B6F3E"/>
    <w:rsid w:val="006B720F"/>
    <w:rsid w:val="006B7230"/>
    <w:rsid w:val="006B7448"/>
    <w:rsid w:val="006B755E"/>
    <w:rsid w:val="006B7B38"/>
    <w:rsid w:val="006B7D0A"/>
    <w:rsid w:val="006B7F6E"/>
    <w:rsid w:val="006C02B8"/>
    <w:rsid w:val="006C02C4"/>
    <w:rsid w:val="006C0473"/>
    <w:rsid w:val="006C0572"/>
    <w:rsid w:val="006C05CA"/>
    <w:rsid w:val="006C0636"/>
    <w:rsid w:val="006C0655"/>
    <w:rsid w:val="006C06F7"/>
    <w:rsid w:val="006C095B"/>
    <w:rsid w:val="006C0A39"/>
    <w:rsid w:val="006C0CD3"/>
    <w:rsid w:val="006C0F6F"/>
    <w:rsid w:val="006C102B"/>
    <w:rsid w:val="006C1343"/>
    <w:rsid w:val="006C1436"/>
    <w:rsid w:val="006C1462"/>
    <w:rsid w:val="006C1E9A"/>
    <w:rsid w:val="006C20DA"/>
    <w:rsid w:val="006C21CE"/>
    <w:rsid w:val="006C22F4"/>
    <w:rsid w:val="006C2A6E"/>
    <w:rsid w:val="006C2B61"/>
    <w:rsid w:val="006C3070"/>
    <w:rsid w:val="006C30B9"/>
    <w:rsid w:val="006C31D7"/>
    <w:rsid w:val="006C32BA"/>
    <w:rsid w:val="006C358C"/>
    <w:rsid w:val="006C37E8"/>
    <w:rsid w:val="006C3DB7"/>
    <w:rsid w:val="006C407C"/>
    <w:rsid w:val="006C4136"/>
    <w:rsid w:val="006C434D"/>
    <w:rsid w:val="006C457F"/>
    <w:rsid w:val="006C4679"/>
    <w:rsid w:val="006C484C"/>
    <w:rsid w:val="006C4A84"/>
    <w:rsid w:val="006C4A9E"/>
    <w:rsid w:val="006C4B7C"/>
    <w:rsid w:val="006C4D06"/>
    <w:rsid w:val="006C4DCE"/>
    <w:rsid w:val="006C4F52"/>
    <w:rsid w:val="006C518C"/>
    <w:rsid w:val="006C5A12"/>
    <w:rsid w:val="006C5BA0"/>
    <w:rsid w:val="006C6352"/>
    <w:rsid w:val="006C6374"/>
    <w:rsid w:val="006C6909"/>
    <w:rsid w:val="006C6D91"/>
    <w:rsid w:val="006C6E4A"/>
    <w:rsid w:val="006C6E4D"/>
    <w:rsid w:val="006C6F0A"/>
    <w:rsid w:val="006C744E"/>
    <w:rsid w:val="006C75FE"/>
    <w:rsid w:val="006C7BC8"/>
    <w:rsid w:val="006D0384"/>
    <w:rsid w:val="006D0833"/>
    <w:rsid w:val="006D0A0D"/>
    <w:rsid w:val="006D1084"/>
    <w:rsid w:val="006D1111"/>
    <w:rsid w:val="006D1267"/>
    <w:rsid w:val="006D12CD"/>
    <w:rsid w:val="006D14C3"/>
    <w:rsid w:val="006D162E"/>
    <w:rsid w:val="006D16CD"/>
    <w:rsid w:val="006D1DB4"/>
    <w:rsid w:val="006D1E82"/>
    <w:rsid w:val="006D20FF"/>
    <w:rsid w:val="006D2261"/>
    <w:rsid w:val="006D2281"/>
    <w:rsid w:val="006D232E"/>
    <w:rsid w:val="006D244F"/>
    <w:rsid w:val="006D26D6"/>
    <w:rsid w:val="006D29AD"/>
    <w:rsid w:val="006D2A76"/>
    <w:rsid w:val="006D2C7A"/>
    <w:rsid w:val="006D2E75"/>
    <w:rsid w:val="006D2F39"/>
    <w:rsid w:val="006D32D1"/>
    <w:rsid w:val="006D34EB"/>
    <w:rsid w:val="006D38EA"/>
    <w:rsid w:val="006D3937"/>
    <w:rsid w:val="006D3AF7"/>
    <w:rsid w:val="006D3CC9"/>
    <w:rsid w:val="006D3D40"/>
    <w:rsid w:val="006D3EC1"/>
    <w:rsid w:val="006D4155"/>
    <w:rsid w:val="006D42EB"/>
    <w:rsid w:val="006D4306"/>
    <w:rsid w:val="006D4357"/>
    <w:rsid w:val="006D499A"/>
    <w:rsid w:val="006D49E4"/>
    <w:rsid w:val="006D4A20"/>
    <w:rsid w:val="006D4E8F"/>
    <w:rsid w:val="006D509E"/>
    <w:rsid w:val="006D50CD"/>
    <w:rsid w:val="006D5181"/>
    <w:rsid w:val="006D5702"/>
    <w:rsid w:val="006D594B"/>
    <w:rsid w:val="006D5B87"/>
    <w:rsid w:val="006D5FDA"/>
    <w:rsid w:val="006D600F"/>
    <w:rsid w:val="006D6560"/>
    <w:rsid w:val="006D6AE2"/>
    <w:rsid w:val="006D6F6F"/>
    <w:rsid w:val="006D7045"/>
    <w:rsid w:val="006D70A8"/>
    <w:rsid w:val="006D75EC"/>
    <w:rsid w:val="006D7A3E"/>
    <w:rsid w:val="006D7AA3"/>
    <w:rsid w:val="006E0127"/>
    <w:rsid w:val="006E01B0"/>
    <w:rsid w:val="006E02E9"/>
    <w:rsid w:val="006E06CD"/>
    <w:rsid w:val="006E0745"/>
    <w:rsid w:val="006E083F"/>
    <w:rsid w:val="006E0D4E"/>
    <w:rsid w:val="006E0DA1"/>
    <w:rsid w:val="006E108B"/>
    <w:rsid w:val="006E118F"/>
    <w:rsid w:val="006E1212"/>
    <w:rsid w:val="006E12A2"/>
    <w:rsid w:val="006E1345"/>
    <w:rsid w:val="006E1443"/>
    <w:rsid w:val="006E14AD"/>
    <w:rsid w:val="006E14E1"/>
    <w:rsid w:val="006E1644"/>
    <w:rsid w:val="006E1AFC"/>
    <w:rsid w:val="006E1B49"/>
    <w:rsid w:val="006E1F1F"/>
    <w:rsid w:val="006E1F9D"/>
    <w:rsid w:val="006E211A"/>
    <w:rsid w:val="006E2198"/>
    <w:rsid w:val="006E23BE"/>
    <w:rsid w:val="006E2715"/>
    <w:rsid w:val="006E2C89"/>
    <w:rsid w:val="006E33CC"/>
    <w:rsid w:val="006E3770"/>
    <w:rsid w:val="006E3777"/>
    <w:rsid w:val="006E37C3"/>
    <w:rsid w:val="006E3A31"/>
    <w:rsid w:val="006E3B82"/>
    <w:rsid w:val="006E3C38"/>
    <w:rsid w:val="006E3E28"/>
    <w:rsid w:val="006E3F30"/>
    <w:rsid w:val="006E40AD"/>
    <w:rsid w:val="006E4214"/>
    <w:rsid w:val="006E44EA"/>
    <w:rsid w:val="006E4628"/>
    <w:rsid w:val="006E46E0"/>
    <w:rsid w:val="006E484F"/>
    <w:rsid w:val="006E4F79"/>
    <w:rsid w:val="006E5242"/>
    <w:rsid w:val="006E6090"/>
    <w:rsid w:val="006E663C"/>
    <w:rsid w:val="006E67DA"/>
    <w:rsid w:val="006E7913"/>
    <w:rsid w:val="006F04F0"/>
    <w:rsid w:val="006F10AD"/>
    <w:rsid w:val="006F116A"/>
    <w:rsid w:val="006F13C6"/>
    <w:rsid w:val="006F1542"/>
    <w:rsid w:val="006F1C72"/>
    <w:rsid w:val="006F210A"/>
    <w:rsid w:val="006F22F1"/>
    <w:rsid w:val="006F2833"/>
    <w:rsid w:val="006F2A6E"/>
    <w:rsid w:val="006F2D6C"/>
    <w:rsid w:val="006F3271"/>
    <w:rsid w:val="006F3325"/>
    <w:rsid w:val="006F333E"/>
    <w:rsid w:val="006F3532"/>
    <w:rsid w:val="006F37D5"/>
    <w:rsid w:val="006F38E7"/>
    <w:rsid w:val="006F39A6"/>
    <w:rsid w:val="006F3B4C"/>
    <w:rsid w:val="006F3C3D"/>
    <w:rsid w:val="006F3DB2"/>
    <w:rsid w:val="006F40A9"/>
    <w:rsid w:val="006F41DB"/>
    <w:rsid w:val="006F43B3"/>
    <w:rsid w:val="006F444A"/>
    <w:rsid w:val="006F447F"/>
    <w:rsid w:val="006F4956"/>
    <w:rsid w:val="006F4DCB"/>
    <w:rsid w:val="006F50C6"/>
    <w:rsid w:val="006F51F6"/>
    <w:rsid w:val="006F562F"/>
    <w:rsid w:val="006F59BC"/>
    <w:rsid w:val="006F5C8A"/>
    <w:rsid w:val="006F5CD5"/>
    <w:rsid w:val="006F5EC6"/>
    <w:rsid w:val="006F61A3"/>
    <w:rsid w:val="006F6318"/>
    <w:rsid w:val="006F6515"/>
    <w:rsid w:val="006F65C7"/>
    <w:rsid w:val="006F6813"/>
    <w:rsid w:val="006F691D"/>
    <w:rsid w:val="006F69EA"/>
    <w:rsid w:val="006F75DF"/>
    <w:rsid w:val="006F7863"/>
    <w:rsid w:val="006F7BCB"/>
    <w:rsid w:val="006F7CEE"/>
    <w:rsid w:val="006F7D14"/>
    <w:rsid w:val="00700003"/>
    <w:rsid w:val="00700754"/>
    <w:rsid w:val="0070080B"/>
    <w:rsid w:val="007008B9"/>
    <w:rsid w:val="00700D3B"/>
    <w:rsid w:val="00700DE5"/>
    <w:rsid w:val="0070112C"/>
    <w:rsid w:val="0070118E"/>
    <w:rsid w:val="007014EB"/>
    <w:rsid w:val="007015C7"/>
    <w:rsid w:val="00701A84"/>
    <w:rsid w:val="00701B3D"/>
    <w:rsid w:val="00701ECA"/>
    <w:rsid w:val="007020A5"/>
    <w:rsid w:val="00702125"/>
    <w:rsid w:val="007027FB"/>
    <w:rsid w:val="00702B19"/>
    <w:rsid w:val="00702B54"/>
    <w:rsid w:val="00702C9E"/>
    <w:rsid w:val="00702E16"/>
    <w:rsid w:val="00703388"/>
    <w:rsid w:val="007034AC"/>
    <w:rsid w:val="007037DF"/>
    <w:rsid w:val="007039C0"/>
    <w:rsid w:val="00703AE5"/>
    <w:rsid w:val="0070404F"/>
    <w:rsid w:val="007040B4"/>
    <w:rsid w:val="007047B3"/>
    <w:rsid w:val="007048EE"/>
    <w:rsid w:val="00704908"/>
    <w:rsid w:val="00705023"/>
    <w:rsid w:val="00705288"/>
    <w:rsid w:val="007053E3"/>
    <w:rsid w:val="007057B2"/>
    <w:rsid w:val="0070594C"/>
    <w:rsid w:val="00705A40"/>
    <w:rsid w:val="00705A53"/>
    <w:rsid w:val="007063B9"/>
    <w:rsid w:val="007068F1"/>
    <w:rsid w:val="00706C59"/>
    <w:rsid w:val="00706F4E"/>
    <w:rsid w:val="007072E4"/>
    <w:rsid w:val="007079B7"/>
    <w:rsid w:val="00707A5B"/>
    <w:rsid w:val="00707C1C"/>
    <w:rsid w:val="00707D29"/>
    <w:rsid w:val="00710130"/>
    <w:rsid w:val="00710180"/>
    <w:rsid w:val="007101C5"/>
    <w:rsid w:val="007104A8"/>
    <w:rsid w:val="00710504"/>
    <w:rsid w:val="00710C69"/>
    <w:rsid w:val="00710EFD"/>
    <w:rsid w:val="00710F47"/>
    <w:rsid w:val="0071128D"/>
    <w:rsid w:val="00711380"/>
    <w:rsid w:val="00711781"/>
    <w:rsid w:val="00711EAF"/>
    <w:rsid w:val="00712285"/>
    <w:rsid w:val="00712846"/>
    <w:rsid w:val="007128C7"/>
    <w:rsid w:val="00712C06"/>
    <w:rsid w:val="00712E46"/>
    <w:rsid w:val="00712ECD"/>
    <w:rsid w:val="00712FEF"/>
    <w:rsid w:val="00713183"/>
    <w:rsid w:val="0071329B"/>
    <w:rsid w:val="0071381C"/>
    <w:rsid w:val="00713E35"/>
    <w:rsid w:val="007141CA"/>
    <w:rsid w:val="007142CF"/>
    <w:rsid w:val="007143D1"/>
    <w:rsid w:val="007144F8"/>
    <w:rsid w:val="007145AC"/>
    <w:rsid w:val="00714D04"/>
    <w:rsid w:val="00714F63"/>
    <w:rsid w:val="00714FE3"/>
    <w:rsid w:val="007151CC"/>
    <w:rsid w:val="007152E0"/>
    <w:rsid w:val="00715533"/>
    <w:rsid w:val="007155CE"/>
    <w:rsid w:val="00715757"/>
    <w:rsid w:val="007157FC"/>
    <w:rsid w:val="00715A4D"/>
    <w:rsid w:val="00715B18"/>
    <w:rsid w:val="00715B42"/>
    <w:rsid w:val="00715D5B"/>
    <w:rsid w:val="0071633E"/>
    <w:rsid w:val="007165A0"/>
    <w:rsid w:val="00716731"/>
    <w:rsid w:val="00716A53"/>
    <w:rsid w:val="00716B4C"/>
    <w:rsid w:val="00716F58"/>
    <w:rsid w:val="007174B3"/>
    <w:rsid w:val="0071791A"/>
    <w:rsid w:val="00717D9B"/>
    <w:rsid w:val="0072038E"/>
    <w:rsid w:val="0072043C"/>
    <w:rsid w:val="0072082E"/>
    <w:rsid w:val="00720AD1"/>
    <w:rsid w:val="00720B72"/>
    <w:rsid w:val="00720B75"/>
    <w:rsid w:val="00720E1F"/>
    <w:rsid w:val="0072158B"/>
    <w:rsid w:val="007215EC"/>
    <w:rsid w:val="00721A17"/>
    <w:rsid w:val="00721CCD"/>
    <w:rsid w:val="00722107"/>
    <w:rsid w:val="007223A2"/>
    <w:rsid w:val="00722784"/>
    <w:rsid w:val="00722A7B"/>
    <w:rsid w:val="00722C43"/>
    <w:rsid w:val="00723A9C"/>
    <w:rsid w:val="00723B2F"/>
    <w:rsid w:val="00724253"/>
    <w:rsid w:val="0072428C"/>
    <w:rsid w:val="0072431F"/>
    <w:rsid w:val="007245C3"/>
    <w:rsid w:val="00724A8F"/>
    <w:rsid w:val="00724D55"/>
    <w:rsid w:val="00724D63"/>
    <w:rsid w:val="00724EF5"/>
    <w:rsid w:val="00724F72"/>
    <w:rsid w:val="007253F3"/>
    <w:rsid w:val="0072568C"/>
    <w:rsid w:val="00725C0C"/>
    <w:rsid w:val="00725C67"/>
    <w:rsid w:val="00725D5B"/>
    <w:rsid w:val="00726168"/>
    <w:rsid w:val="007265DD"/>
    <w:rsid w:val="00726836"/>
    <w:rsid w:val="00726875"/>
    <w:rsid w:val="00726978"/>
    <w:rsid w:val="00726A53"/>
    <w:rsid w:val="00726AD0"/>
    <w:rsid w:val="00726C4D"/>
    <w:rsid w:val="00726F6D"/>
    <w:rsid w:val="00727126"/>
    <w:rsid w:val="007274AA"/>
    <w:rsid w:val="00727768"/>
    <w:rsid w:val="0072794D"/>
    <w:rsid w:val="0072797D"/>
    <w:rsid w:val="007279E9"/>
    <w:rsid w:val="00730028"/>
    <w:rsid w:val="0073009B"/>
    <w:rsid w:val="007300B6"/>
    <w:rsid w:val="007301B1"/>
    <w:rsid w:val="00730271"/>
    <w:rsid w:val="00730309"/>
    <w:rsid w:val="007303C2"/>
    <w:rsid w:val="0073042E"/>
    <w:rsid w:val="007304B0"/>
    <w:rsid w:val="0073058B"/>
    <w:rsid w:val="007307D7"/>
    <w:rsid w:val="0073098F"/>
    <w:rsid w:val="00730AEC"/>
    <w:rsid w:val="00730FC5"/>
    <w:rsid w:val="007311E9"/>
    <w:rsid w:val="00731659"/>
    <w:rsid w:val="00731B20"/>
    <w:rsid w:val="00731B6A"/>
    <w:rsid w:val="00731BE5"/>
    <w:rsid w:val="00731E32"/>
    <w:rsid w:val="00731F18"/>
    <w:rsid w:val="00731F81"/>
    <w:rsid w:val="00732010"/>
    <w:rsid w:val="007320B5"/>
    <w:rsid w:val="0073216E"/>
    <w:rsid w:val="00732359"/>
    <w:rsid w:val="007323A5"/>
    <w:rsid w:val="00732468"/>
    <w:rsid w:val="00732495"/>
    <w:rsid w:val="00732566"/>
    <w:rsid w:val="00732606"/>
    <w:rsid w:val="007328A1"/>
    <w:rsid w:val="007328F2"/>
    <w:rsid w:val="00732D29"/>
    <w:rsid w:val="00732DF7"/>
    <w:rsid w:val="00732EAE"/>
    <w:rsid w:val="0073329A"/>
    <w:rsid w:val="007333C9"/>
    <w:rsid w:val="00733423"/>
    <w:rsid w:val="00733830"/>
    <w:rsid w:val="00733A87"/>
    <w:rsid w:val="00733C68"/>
    <w:rsid w:val="00733CAF"/>
    <w:rsid w:val="00733DFE"/>
    <w:rsid w:val="00733ED8"/>
    <w:rsid w:val="00733F3C"/>
    <w:rsid w:val="007344A3"/>
    <w:rsid w:val="00734E43"/>
    <w:rsid w:val="0073522F"/>
    <w:rsid w:val="007354D5"/>
    <w:rsid w:val="0073588D"/>
    <w:rsid w:val="00735BE5"/>
    <w:rsid w:val="00735FD2"/>
    <w:rsid w:val="00736162"/>
    <w:rsid w:val="00736184"/>
    <w:rsid w:val="0073629F"/>
    <w:rsid w:val="00736561"/>
    <w:rsid w:val="0073683B"/>
    <w:rsid w:val="0073694A"/>
    <w:rsid w:val="007369F1"/>
    <w:rsid w:val="00736DF2"/>
    <w:rsid w:val="00736E2F"/>
    <w:rsid w:val="00737261"/>
    <w:rsid w:val="0073727E"/>
    <w:rsid w:val="007374F8"/>
    <w:rsid w:val="00737512"/>
    <w:rsid w:val="007377E0"/>
    <w:rsid w:val="00740443"/>
    <w:rsid w:val="00740481"/>
    <w:rsid w:val="00740643"/>
    <w:rsid w:val="00740A7B"/>
    <w:rsid w:val="00740CEC"/>
    <w:rsid w:val="00740F80"/>
    <w:rsid w:val="00740FAC"/>
    <w:rsid w:val="00741486"/>
    <w:rsid w:val="00741649"/>
    <w:rsid w:val="00741A6D"/>
    <w:rsid w:val="00741E17"/>
    <w:rsid w:val="00741F4D"/>
    <w:rsid w:val="00741F6A"/>
    <w:rsid w:val="00741FF5"/>
    <w:rsid w:val="00742294"/>
    <w:rsid w:val="0074256A"/>
    <w:rsid w:val="0074261B"/>
    <w:rsid w:val="0074261F"/>
    <w:rsid w:val="00742654"/>
    <w:rsid w:val="007429FF"/>
    <w:rsid w:val="00742A88"/>
    <w:rsid w:val="00742D6F"/>
    <w:rsid w:val="00742D95"/>
    <w:rsid w:val="00743260"/>
    <w:rsid w:val="00743363"/>
    <w:rsid w:val="007435FC"/>
    <w:rsid w:val="007439AF"/>
    <w:rsid w:val="00743DD4"/>
    <w:rsid w:val="00743E80"/>
    <w:rsid w:val="00744025"/>
    <w:rsid w:val="00744231"/>
    <w:rsid w:val="007444F2"/>
    <w:rsid w:val="00744A88"/>
    <w:rsid w:val="00744E73"/>
    <w:rsid w:val="00744E7B"/>
    <w:rsid w:val="0074501B"/>
    <w:rsid w:val="007451C1"/>
    <w:rsid w:val="00745298"/>
    <w:rsid w:val="007458B9"/>
    <w:rsid w:val="00745DDD"/>
    <w:rsid w:val="00746317"/>
    <w:rsid w:val="00746328"/>
    <w:rsid w:val="007463B7"/>
    <w:rsid w:val="007469E2"/>
    <w:rsid w:val="00746B29"/>
    <w:rsid w:val="00746BAD"/>
    <w:rsid w:val="00746F9E"/>
    <w:rsid w:val="007473D6"/>
    <w:rsid w:val="00747603"/>
    <w:rsid w:val="0075025F"/>
    <w:rsid w:val="00750396"/>
    <w:rsid w:val="00750440"/>
    <w:rsid w:val="0075047A"/>
    <w:rsid w:val="00750692"/>
    <w:rsid w:val="00750877"/>
    <w:rsid w:val="00750A15"/>
    <w:rsid w:val="00750BA0"/>
    <w:rsid w:val="00750EDB"/>
    <w:rsid w:val="007510BD"/>
    <w:rsid w:val="0075121D"/>
    <w:rsid w:val="0075149E"/>
    <w:rsid w:val="00751538"/>
    <w:rsid w:val="00751650"/>
    <w:rsid w:val="007518DF"/>
    <w:rsid w:val="00751CB7"/>
    <w:rsid w:val="00751EAD"/>
    <w:rsid w:val="0075233F"/>
    <w:rsid w:val="00752342"/>
    <w:rsid w:val="00752496"/>
    <w:rsid w:val="0075265F"/>
    <w:rsid w:val="00752737"/>
    <w:rsid w:val="007527B9"/>
    <w:rsid w:val="00752A5A"/>
    <w:rsid w:val="00752DCD"/>
    <w:rsid w:val="00753012"/>
    <w:rsid w:val="0075318C"/>
    <w:rsid w:val="0075335A"/>
    <w:rsid w:val="007533F0"/>
    <w:rsid w:val="007534BC"/>
    <w:rsid w:val="007536F6"/>
    <w:rsid w:val="0075382C"/>
    <w:rsid w:val="00753BC1"/>
    <w:rsid w:val="0075410B"/>
    <w:rsid w:val="00754351"/>
    <w:rsid w:val="0075439F"/>
    <w:rsid w:val="007543C1"/>
    <w:rsid w:val="007544A2"/>
    <w:rsid w:val="0075454B"/>
    <w:rsid w:val="007546A5"/>
    <w:rsid w:val="00754714"/>
    <w:rsid w:val="007548BC"/>
    <w:rsid w:val="00754A71"/>
    <w:rsid w:val="00754D11"/>
    <w:rsid w:val="00754D98"/>
    <w:rsid w:val="00754F6C"/>
    <w:rsid w:val="00755114"/>
    <w:rsid w:val="0075531B"/>
    <w:rsid w:val="007554CF"/>
    <w:rsid w:val="007554E6"/>
    <w:rsid w:val="00755C4A"/>
    <w:rsid w:val="0075613E"/>
    <w:rsid w:val="00756150"/>
    <w:rsid w:val="00756325"/>
    <w:rsid w:val="0075638F"/>
    <w:rsid w:val="00756833"/>
    <w:rsid w:val="0075709B"/>
    <w:rsid w:val="007578A9"/>
    <w:rsid w:val="007579F9"/>
    <w:rsid w:val="00757CAA"/>
    <w:rsid w:val="00760483"/>
    <w:rsid w:val="0076049F"/>
    <w:rsid w:val="007604C1"/>
    <w:rsid w:val="00760899"/>
    <w:rsid w:val="00760AB9"/>
    <w:rsid w:val="00760EA7"/>
    <w:rsid w:val="007615B6"/>
    <w:rsid w:val="007617D5"/>
    <w:rsid w:val="00761864"/>
    <w:rsid w:val="00761DC4"/>
    <w:rsid w:val="00762146"/>
    <w:rsid w:val="0076217D"/>
    <w:rsid w:val="00762471"/>
    <w:rsid w:val="007624DB"/>
    <w:rsid w:val="00762515"/>
    <w:rsid w:val="00762A5E"/>
    <w:rsid w:val="00762CFC"/>
    <w:rsid w:val="00762D25"/>
    <w:rsid w:val="00762ED2"/>
    <w:rsid w:val="0076312D"/>
    <w:rsid w:val="0076319D"/>
    <w:rsid w:val="007633C0"/>
    <w:rsid w:val="00763684"/>
    <w:rsid w:val="007637A4"/>
    <w:rsid w:val="00763887"/>
    <w:rsid w:val="00763EC8"/>
    <w:rsid w:val="00763EE6"/>
    <w:rsid w:val="00763F50"/>
    <w:rsid w:val="00764579"/>
    <w:rsid w:val="0076476E"/>
    <w:rsid w:val="007649FA"/>
    <w:rsid w:val="00764B82"/>
    <w:rsid w:val="00764BCA"/>
    <w:rsid w:val="00764D19"/>
    <w:rsid w:val="00765015"/>
    <w:rsid w:val="00765112"/>
    <w:rsid w:val="0076549D"/>
    <w:rsid w:val="007654C9"/>
    <w:rsid w:val="00765533"/>
    <w:rsid w:val="00765D70"/>
    <w:rsid w:val="00765D7F"/>
    <w:rsid w:val="00765F21"/>
    <w:rsid w:val="00766214"/>
    <w:rsid w:val="007667CE"/>
    <w:rsid w:val="00766AB5"/>
    <w:rsid w:val="00766C05"/>
    <w:rsid w:val="00766C44"/>
    <w:rsid w:val="00766CBD"/>
    <w:rsid w:val="00766D2F"/>
    <w:rsid w:val="007671FD"/>
    <w:rsid w:val="00767642"/>
    <w:rsid w:val="007677F5"/>
    <w:rsid w:val="007679F4"/>
    <w:rsid w:val="00767B0A"/>
    <w:rsid w:val="00767CFD"/>
    <w:rsid w:val="00767E51"/>
    <w:rsid w:val="00767EAB"/>
    <w:rsid w:val="00767F14"/>
    <w:rsid w:val="00767FF0"/>
    <w:rsid w:val="0077004A"/>
    <w:rsid w:val="007702CC"/>
    <w:rsid w:val="007709F9"/>
    <w:rsid w:val="007714E1"/>
    <w:rsid w:val="007716D1"/>
    <w:rsid w:val="00771799"/>
    <w:rsid w:val="00771867"/>
    <w:rsid w:val="00771C9E"/>
    <w:rsid w:val="00771DD0"/>
    <w:rsid w:val="00772043"/>
    <w:rsid w:val="00772078"/>
    <w:rsid w:val="007722B1"/>
    <w:rsid w:val="007722D6"/>
    <w:rsid w:val="007722F2"/>
    <w:rsid w:val="00772F7C"/>
    <w:rsid w:val="00772F94"/>
    <w:rsid w:val="00773511"/>
    <w:rsid w:val="00773611"/>
    <w:rsid w:val="007739E8"/>
    <w:rsid w:val="00773BA2"/>
    <w:rsid w:val="0077405B"/>
    <w:rsid w:val="00774300"/>
    <w:rsid w:val="0077448A"/>
    <w:rsid w:val="007744AC"/>
    <w:rsid w:val="007747E7"/>
    <w:rsid w:val="0077496C"/>
    <w:rsid w:val="007749C5"/>
    <w:rsid w:val="00774B6B"/>
    <w:rsid w:val="00774E47"/>
    <w:rsid w:val="00775036"/>
    <w:rsid w:val="0077527C"/>
    <w:rsid w:val="007755DF"/>
    <w:rsid w:val="007759E9"/>
    <w:rsid w:val="00775CBA"/>
    <w:rsid w:val="00775CEF"/>
    <w:rsid w:val="00776050"/>
    <w:rsid w:val="0077607B"/>
    <w:rsid w:val="0077619F"/>
    <w:rsid w:val="00776580"/>
    <w:rsid w:val="00776607"/>
    <w:rsid w:val="0077665C"/>
    <w:rsid w:val="007766E5"/>
    <w:rsid w:val="007768AD"/>
    <w:rsid w:val="00776AD3"/>
    <w:rsid w:val="00776C4C"/>
    <w:rsid w:val="007770F7"/>
    <w:rsid w:val="00777410"/>
    <w:rsid w:val="007776D1"/>
    <w:rsid w:val="00777AAB"/>
    <w:rsid w:val="00777ABD"/>
    <w:rsid w:val="00777B30"/>
    <w:rsid w:val="00777C16"/>
    <w:rsid w:val="00780097"/>
    <w:rsid w:val="007805FA"/>
    <w:rsid w:val="00780824"/>
    <w:rsid w:val="00780C96"/>
    <w:rsid w:val="00780E08"/>
    <w:rsid w:val="00781058"/>
    <w:rsid w:val="0078119E"/>
    <w:rsid w:val="007811B7"/>
    <w:rsid w:val="00781411"/>
    <w:rsid w:val="0078158D"/>
    <w:rsid w:val="00781777"/>
    <w:rsid w:val="00781AFD"/>
    <w:rsid w:val="00781CD1"/>
    <w:rsid w:val="00781E56"/>
    <w:rsid w:val="00781EFA"/>
    <w:rsid w:val="00782601"/>
    <w:rsid w:val="00782859"/>
    <w:rsid w:val="0078288D"/>
    <w:rsid w:val="00782950"/>
    <w:rsid w:val="00782C76"/>
    <w:rsid w:val="007831F2"/>
    <w:rsid w:val="0078335B"/>
    <w:rsid w:val="007833DC"/>
    <w:rsid w:val="007835A6"/>
    <w:rsid w:val="00783D6B"/>
    <w:rsid w:val="00783E07"/>
    <w:rsid w:val="00784039"/>
    <w:rsid w:val="007840BC"/>
    <w:rsid w:val="00784537"/>
    <w:rsid w:val="00784881"/>
    <w:rsid w:val="007849F7"/>
    <w:rsid w:val="00784F5A"/>
    <w:rsid w:val="00785115"/>
    <w:rsid w:val="007852BA"/>
    <w:rsid w:val="007854E3"/>
    <w:rsid w:val="00785586"/>
    <w:rsid w:val="007857A5"/>
    <w:rsid w:val="00785B6C"/>
    <w:rsid w:val="0078618D"/>
    <w:rsid w:val="0078637D"/>
    <w:rsid w:val="007863A3"/>
    <w:rsid w:val="00786414"/>
    <w:rsid w:val="00786603"/>
    <w:rsid w:val="00786C6D"/>
    <w:rsid w:val="00786D17"/>
    <w:rsid w:val="00786DF5"/>
    <w:rsid w:val="007871C1"/>
    <w:rsid w:val="00787272"/>
    <w:rsid w:val="00787BBD"/>
    <w:rsid w:val="00790278"/>
    <w:rsid w:val="007904B0"/>
    <w:rsid w:val="0079097B"/>
    <w:rsid w:val="00790C93"/>
    <w:rsid w:val="00790E60"/>
    <w:rsid w:val="00790EBF"/>
    <w:rsid w:val="0079156B"/>
    <w:rsid w:val="0079181D"/>
    <w:rsid w:val="00791967"/>
    <w:rsid w:val="0079196A"/>
    <w:rsid w:val="00791BCA"/>
    <w:rsid w:val="00791C0E"/>
    <w:rsid w:val="00791D1C"/>
    <w:rsid w:val="00791DB3"/>
    <w:rsid w:val="00791F53"/>
    <w:rsid w:val="007921A2"/>
    <w:rsid w:val="0079225A"/>
    <w:rsid w:val="00792426"/>
    <w:rsid w:val="0079296C"/>
    <w:rsid w:val="00792BF4"/>
    <w:rsid w:val="00792E9E"/>
    <w:rsid w:val="00792F25"/>
    <w:rsid w:val="0079383D"/>
    <w:rsid w:val="00793A01"/>
    <w:rsid w:val="007940E2"/>
    <w:rsid w:val="007943D3"/>
    <w:rsid w:val="007947E3"/>
    <w:rsid w:val="00794A21"/>
    <w:rsid w:val="00794A50"/>
    <w:rsid w:val="00794A84"/>
    <w:rsid w:val="00794D23"/>
    <w:rsid w:val="00794D84"/>
    <w:rsid w:val="00794D9D"/>
    <w:rsid w:val="007955BC"/>
    <w:rsid w:val="00795621"/>
    <w:rsid w:val="00795646"/>
    <w:rsid w:val="00795DC2"/>
    <w:rsid w:val="007961CB"/>
    <w:rsid w:val="00796280"/>
    <w:rsid w:val="007963F0"/>
    <w:rsid w:val="007966D5"/>
    <w:rsid w:val="00796CDB"/>
    <w:rsid w:val="00796D04"/>
    <w:rsid w:val="00796D2B"/>
    <w:rsid w:val="007971EF"/>
    <w:rsid w:val="00797553"/>
    <w:rsid w:val="0079758D"/>
    <w:rsid w:val="007978CA"/>
    <w:rsid w:val="00797992"/>
    <w:rsid w:val="00797A1F"/>
    <w:rsid w:val="00797D6F"/>
    <w:rsid w:val="007A03DE"/>
    <w:rsid w:val="007A0583"/>
    <w:rsid w:val="007A0880"/>
    <w:rsid w:val="007A08A6"/>
    <w:rsid w:val="007A0E02"/>
    <w:rsid w:val="007A11E1"/>
    <w:rsid w:val="007A131B"/>
    <w:rsid w:val="007A15B4"/>
    <w:rsid w:val="007A1B23"/>
    <w:rsid w:val="007A20D6"/>
    <w:rsid w:val="007A212D"/>
    <w:rsid w:val="007A21FA"/>
    <w:rsid w:val="007A24A6"/>
    <w:rsid w:val="007A268F"/>
    <w:rsid w:val="007A26BC"/>
    <w:rsid w:val="007A28DE"/>
    <w:rsid w:val="007A30AE"/>
    <w:rsid w:val="007A3194"/>
    <w:rsid w:val="007A34B3"/>
    <w:rsid w:val="007A38F9"/>
    <w:rsid w:val="007A39DB"/>
    <w:rsid w:val="007A3A37"/>
    <w:rsid w:val="007A3D04"/>
    <w:rsid w:val="007A3ECD"/>
    <w:rsid w:val="007A4373"/>
    <w:rsid w:val="007A45E5"/>
    <w:rsid w:val="007A4753"/>
    <w:rsid w:val="007A485A"/>
    <w:rsid w:val="007A49BA"/>
    <w:rsid w:val="007A4A49"/>
    <w:rsid w:val="007A4A88"/>
    <w:rsid w:val="007A4CF0"/>
    <w:rsid w:val="007A4FF2"/>
    <w:rsid w:val="007A54B2"/>
    <w:rsid w:val="007A5E70"/>
    <w:rsid w:val="007A6259"/>
    <w:rsid w:val="007A654D"/>
    <w:rsid w:val="007A674F"/>
    <w:rsid w:val="007A67BB"/>
    <w:rsid w:val="007A6A03"/>
    <w:rsid w:val="007A6FC5"/>
    <w:rsid w:val="007A719C"/>
    <w:rsid w:val="007A7491"/>
    <w:rsid w:val="007A7BF5"/>
    <w:rsid w:val="007A7E14"/>
    <w:rsid w:val="007A7F75"/>
    <w:rsid w:val="007B0473"/>
    <w:rsid w:val="007B0510"/>
    <w:rsid w:val="007B059B"/>
    <w:rsid w:val="007B0965"/>
    <w:rsid w:val="007B0CBB"/>
    <w:rsid w:val="007B1332"/>
    <w:rsid w:val="007B13B8"/>
    <w:rsid w:val="007B15BB"/>
    <w:rsid w:val="007B16C9"/>
    <w:rsid w:val="007B18DC"/>
    <w:rsid w:val="007B19A7"/>
    <w:rsid w:val="007B1B92"/>
    <w:rsid w:val="007B1F89"/>
    <w:rsid w:val="007B22ED"/>
    <w:rsid w:val="007B23DB"/>
    <w:rsid w:val="007B29EA"/>
    <w:rsid w:val="007B2ABA"/>
    <w:rsid w:val="007B2AF2"/>
    <w:rsid w:val="007B2B03"/>
    <w:rsid w:val="007B2B9C"/>
    <w:rsid w:val="007B2D0B"/>
    <w:rsid w:val="007B2DA7"/>
    <w:rsid w:val="007B2E20"/>
    <w:rsid w:val="007B2E6A"/>
    <w:rsid w:val="007B3011"/>
    <w:rsid w:val="007B31E1"/>
    <w:rsid w:val="007B31E9"/>
    <w:rsid w:val="007B337B"/>
    <w:rsid w:val="007B33A1"/>
    <w:rsid w:val="007B36E2"/>
    <w:rsid w:val="007B3BEC"/>
    <w:rsid w:val="007B3CE0"/>
    <w:rsid w:val="007B3D2C"/>
    <w:rsid w:val="007B3E72"/>
    <w:rsid w:val="007B3EDF"/>
    <w:rsid w:val="007B468F"/>
    <w:rsid w:val="007B47BF"/>
    <w:rsid w:val="007B48C8"/>
    <w:rsid w:val="007B4B68"/>
    <w:rsid w:val="007B4C10"/>
    <w:rsid w:val="007B541E"/>
    <w:rsid w:val="007B5793"/>
    <w:rsid w:val="007B5997"/>
    <w:rsid w:val="007B5AC7"/>
    <w:rsid w:val="007B5ADE"/>
    <w:rsid w:val="007B5C26"/>
    <w:rsid w:val="007B5CC7"/>
    <w:rsid w:val="007B5DAA"/>
    <w:rsid w:val="007B640A"/>
    <w:rsid w:val="007B668E"/>
    <w:rsid w:val="007B6749"/>
    <w:rsid w:val="007B6A1C"/>
    <w:rsid w:val="007B6D2D"/>
    <w:rsid w:val="007B6EA5"/>
    <w:rsid w:val="007B6FA7"/>
    <w:rsid w:val="007B75EE"/>
    <w:rsid w:val="007B7EAB"/>
    <w:rsid w:val="007B7FDB"/>
    <w:rsid w:val="007C0032"/>
    <w:rsid w:val="007C01D7"/>
    <w:rsid w:val="007C0798"/>
    <w:rsid w:val="007C0985"/>
    <w:rsid w:val="007C120F"/>
    <w:rsid w:val="007C14F0"/>
    <w:rsid w:val="007C183C"/>
    <w:rsid w:val="007C1866"/>
    <w:rsid w:val="007C1ACF"/>
    <w:rsid w:val="007C1B6B"/>
    <w:rsid w:val="007C1C29"/>
    <w:rsid w:val="007C1DF7"/>
    <w:rsid w:val="007C1F19"/>
    <w:rsid w:val="007C1F1B"/>
    <w:rsid w:val="007C210D"/>
    <w:rsid w:val="007C225A"/>
    <w:rsid w:val="007C22BE"/>
    <w:rsid w:val="007C2909"/>
    <w:rsid w:val="007C2D69"/>
    <w:rsid w:val="007C3087"/>
    <w:rsid w:val="007C314D"/>
    <w:rsid w:val="007C3798"/>
    <w:rsid w:val="007C3AB1"/>
    <w:rsid w:val="007C3E7E"/>
    <w:rsid w:val="007C3FFC"/>
    <w:rsid w:val="007C462B"/>
    <w:rsid w:val="007C4763"/>
    <w:rsid w:val="007C4937"/>
    <w:rsid w:val="007C4C1B"/>
    <w:rsid w:val="007C50EF"/>
    <w:rsid w:val="007C54D8"/>
    <w:rsid w:val="007C553F"/>
    <w:rsid w:val="007C5856"/>
    <w:rsid w:val="007C59E7"/>
    <w:rsid w:val="007C5A11"/>
    <w:rsid w:val="007C5E02"/>
    <w:rsid w:val="007C6036"/>
    <w:rsid w:val="007C6389"/>
    <w:rsid w:val="007C68F6"/>
    <w:rsid w:val="007C6BD7"/>
    <w:rsid w:val="007C6D8C"/>
    <w:rsid w:val="007C6EEB"/>
    <w:rsid w:val="007C749E"/>
    <w:rsid w:val="007C7622"/>
    <w:rsid w:val="007C7B67"/>
    <w:rsid w:val="007C7D12"/>
    <w:rsid w:val="007C7E0A"/>
    <w:rsid w:val="007C7FB9"/>
    <w:rsid w:val="007D0247"/>
    <w:rsid w:val="007D0A08"/>
    <w:rsid w:val="007D0FDC"/>
    <w:rsid w:val="007D1202"/>
    <w:rsid w:val="007D13FB"/>
    <w:rsid w:val="007D15FF"/>
    <w:rsid w:val="007D17ED"/>
    <w:rsid w:val="007D1A48"/>
    <w:rsid w:val="007D1CCA"/>
    <w:rsid w:val="007D1D01"/>
    <w:rsid w:val="007D1EB6"/>
    <w:rsid w:val="007D1F32"/>
    <w:rsid w:val="007D216D"/>
    <w:rsid w:val="007D279F"/>
    <w:rsid w:val="007D2B16"/>
    <w:rsid w:val="007D2CDE"/>
    <w:rsid w:val="007D2F45"/>
    <w:rsid w:val="007D301E"/>
    <w:rsid w:val="007D3345"/>
    <w:rsid w:val="007D33BC"/>
    <w:rsid w:val="007D3714"/>
    <w:rsid w:val="007D3797"/>
    <w:rsid w:val="007D3A6D"/>
    <w:rsid w:val="007D3E4B"/>
    <w:rsid w:val="007D3F03"/>
    <w:rsid w:val="007D3FF1"/>
    <w:rsid w:val="007D429D"/>
    <w:rsid w:val="007D4955"/>
    <w:rsid w:val="007D4DFB"/>
    <w:rsid w:val="007D4E86"/>
    <w:rsid w:val="007D4EF9"/>
    <w:rsid w:val="007D527C"/>
    <w:rsid w:val="007D53E3"/>
    <w:rsid w:val="007D5425"/>
    <w:rsid w:val="007D55A9"/>
    <w:rsid w:val="007D5DA8"/>
    <w:rsid w:val="007D5DE1"/>
    <w:rsid w:val="007D5F5B"/>
    <w:rsid w:val="007D6127"/>
    <w:rsid w:val="007D6194"/>
    <w:rsid w:val="007D6201"/>
    <w:rsid w:val="007D6371"/>
    <w:rsid w:val="007D6616"/>
    <w:rsid w:val="007D6846"/>
    <w:rsid w:val="007D6CDC"/>
    <w:rsid w:val="007D70D2"/>
    <w:rsid w:val="007D714C"/>
    <w:rsid w:val="007D714F"/>
    <w:rsid w:val="007D7356"/>
    <w:rsid w:val="007D736B"/>
    <w:rsid w:val="007D7482"/>
    <w:rsid w:val="007D7B88"/>
    <w:rsid w:val="007D7BCB"/>
    <w:rsid w:val="007D7E9E"/>
    <w:rsid w:val="007D7EC1"/>
    <w:rsid w:val="007D7F8D"/>
    <w:rsid w:val="007E0035"/>
    <w:rsid w:val="007E0126"/>
    <w:rsid w:val="007E052F"/>
    <w:rsid w:val="007E07B2"/>
    <w:rsid w:val="007E0AFE"/>
    <w:rsid w:val="007E0BCA"/>
    <w:rsid w:val="007E0D34"/>
    <w:rsid w:val="007E0FEB"/>
    <w:rsid w:val="007E1259"/>
    <w:rsid w:val="007E1631"/>
    <w:rsid w:val="007E18EB"/>
    <w:rsid w:val="007E1C74"/>
    <w:rsid w:val="007E1DD6"/>
    <w:rsid w:val="007E20DF"/>
    <w:rsid w:val="007E21F1"/>
    <w:rsid w:val="007E250C"/>
    <w:rsid w:val="007E26D8"/>
    <w:rsid w:val="007E2F40"/>
    <w:rsid w:val="007E3300"/>
    <w:rsid w:val="007E34DA"/>
    <w:rsid w:val="007E3708"/>
    <w:rsid w:val="007E3A93"/>
    <w:rsid w:val="007E3AAC"/>
    <w:rsid w:val="007E3C88"/>
    <w:rsid w:val="007E4395"/>
    <w:rsid w:val="007E4424"/>
    <w:rsid w:val="007E448C"/>
    <w:rsid w:val="007E44BA"/>
    <w:rsid w:val="007E4502"/>
    <w:rsid w:val="007E4633"/>
    <w:rsid w:val="007E48E5"/>
    <w:rsid w:val="007E4D4F"/>
    <w:rsid w:val="007E4EDE"/>
    <w:rsid w:val="007E51FB"/>
    <w:rsid w:val="007E51FF"/>
    <w:rsid w:val="007E5BD4"/>
    <w:rsid w:val="007E5C8B"/>
    <w:rsid w:val="007E6068"/>
    <w:rsid w:val="007E62BC"/>
    <w:rsid w:val="007E6477"/>
    <w:rsid w:val="007E6482"/>
    <w:rsid w:val="007E64FF"/>
    <w:rsid w:val="007E668B"/>
    <w:rsid w:val="007E6922"/>
    <w:rsid w:val="007E6952"/>
    <w:rsid w:val="007E6BC2"/>
    <w:rsid w:val="007E6FF2"/>
    <w:rsid w:val="007E70AF"/>
    <w:rsid w:val="007E787E"/>
    <w:rsid w:val="007E7928"/>
    <w:rsid w:val="007E7FFA"/>
    <w:rsid w:val="007F0583"/>
    <w:rsid w:val="007F0990"/>
    <w:rsid w:val="007F0BAB"/>
    <w:rsid w:val="007F0C77"/>
    <w:rsid w:val="007F0C7B"/>
    <w:rsid w:val="007F0D01"/>
    <w:rsid w:val="007F1150"/>
    <w:rsid w:val="007F187A"/>
    <w:rsid w:val="007F19E6"/>
    <w:rsid w:val="007F1A48"/>
    <w:rsid w:val="007F1A55"/>
    <w:rsid w:val="007F1E88"/>
    <w:rsid w:val="007F2733"/>
    <w:rsid w:val="007F291A"/>
    <w:rsid w:val="007F2F5E"/>
    <w:rsid w:val="007F303A"/>
    <w:rsid w:val="007F3478"/>
    <w:rsid w:val="007F3487"/>
    <w:rsid w:val="007F4672"/>
    <w:rsid w:val="007F4705"/>
    <w:rsid w:val="007F4A2A"/>
    <w:rsid w:val="007F5362"/>
    <w:rsid w:val="007F589C"/>
    <w:rsid w:val="007F5A0E"/>
    <w:rsid w:val="007F5C01"/>
    <w:rsid w:val="007F5E4E"/>
    <w:rsid w:val="007F5F06"/>
    <w:rsid w:val="007F6062"/>
    <w:rsid w:val="007F6200"/>
    <w:rsid w:val="007F62F4"/>
    <w:rsid w:val="007F632D"/>
    <w:rsid w:val="007F64D9"/>
    <w:rsid w:val="007F6613"/>
    <w:rsid w:val="007F666C"/>
    <w:rsid w:val="007F67F9"/>
    <w:rsid w:val="007F7731"/>
    <w:rsid w:val="007F78C3"/>
    <w:rsid w:val="007F7969"/>
    <w:rsid w:val="007F7A4C"/>
    <w:rsid w:val="007F7B73"/>
    <w:rsid w:val="007F7D5E"/>
    <w:rsid w:val="008000CD"/>
    <w:rsid w:val="008002CB"/>
    <w:rsid w:val="008003D7"/>
    <w:rsid w:val="00800637"/>
    <w:rsid w:val="0080079A"/>
    <w:rsid w:val="008010A3"/>
    <w:rsid w:val="0080177D"/>
    <w:rsid w:val="0080179A"/>
    <w:rsid w:val="008018B7"/>
    <w:rsid w:val="008020E7"/>
    <w:rsid w:val="00802106"/>
    <w:rsid w:val="008021C7"/>
    <w:rsid w:val="00802748"/>
    <w:rsid w:val="00802927"/>
    <w:rsid w:val="0080294C"/>
    <w:rsid w:val="00802ACE"/>
    <w:rsid w:val="00802E11"/>
    <w:rsid w:val="0080317B"/>
    <w:rsid w:val="00803D62"/>
    <w:rsid w:val="00804021"/>
    <w:rsid w:val="0080436E"/>
    <w:rsid w:val="00804381"/>
    <w:rsid w:val="008045FD"/>
    <w:rsid w:val="0080460A"/>
    <w:rsid w:val="0080481C"/>
    <w:rsid w:val="00804F79"/>
    <w:rsid w:val="0080511E"/>
    <w:rsid w:val="00805137"/>
    <w:rsid w:val="00805496"/>
    <w:rsid w:val="00805754"/>
    <w:rsid w:val="00805843"/>
    <w:rsid w:val="00805943"/>
    <w:rsid w:val="00805C92"/>
    <w:rsid w:val="00805ECA"/>
    <w:rsid w:val="00805EFA"/>
    <w:rsid w:val="00805F76"/>
    <w:rsid w:val="008063F3"/>
    <w:rsid w:val="0080645E"/>
    <w:rsid w:val="008065EC"/>
    <w:rsid w:val="008067C2"/>
    <w:rsid w:val="00806E07"/>
    <w:rsid w:val="00807285"/>
    <w:rsid w:val="008076FE"/>
    <w:rsid w:val="0080777D"/>
    <w:rsid w:val="00807BEE"/>
    <w:rsid w:val="00807E25"/>
    <w:rsid w:val="0081002A"/>
    <w:rsid w:val="00810681"/>
    <w:rsid w:val="008107CA"/>
    <w:rsid w:val="00811321"/>
    <w:rsid w:val="00811510"/>
    <w:rsid w:val="00811907"/>
    <w:rsid w:val="00811BA2"/>
    <w:rsid w:val="00811ECF"/>
    <w:rsid w:val="008120AD"/>
    <w:rsid w:val="008121EE"/>
    <w:rsid w:val="0081257E"/>
    <w:rsid w:val="00812742"/>
    <w:rsid w:val="00812DF3"/>
    <w:rsid w:val="00812F98"/>
    <w:rsid w:val="0081304E"/>
    <w:rsid w:val="00813241"/>
    <w:rsid w:val="0081351D"/>
    <w:rsid w:val="008137B4"/>
    <w:rsid w:val="00813A18"/>
    <w:rsid w:val="00813B29"/>
    <w:rsid w:val="00813B73"/>
    <w:rsid w:val="00813EA8"/>
    <w:rsid w:val="00813F28"/>
    <w:rsid w:val="0081411B"/>
    <w:rsid w:val="008143D1"/>
    <w:rsid w:val="00814A4E"/>
    <w:rsid w:val="008156EF"/>
    <w:rsid w:val="00815714"/>
    <w:rsid w:val="00815BEF"/>
    <w:rsid w:val="00815E11"/>
    <w:rsid w:val="00816159"/>
    <w:rsid w:val="008161DF"/>
    <w:rsid w:val="00816324"/>
    <w:rsid w:val="00816608"/>
    <w:rsid w:val="008167ED"/>
    <w:rsid w:val="00816B87"/>
    <w:rsid w:val="00816D6A"/>
    <w:rsid w:val="00816D8A"/>
    <w:rsid w:val="00816D90"/>
    <w:rsid w:val="00817335"/>
    <w:rsid w:val="00817A9C"/>
    <w:rsid w:val="00817E7D"/>
    <w:rsid w:val="00817F56"/>
    <w:rsid w:val="00817FB4"/>
    <w:rsid w:val="0082010E"/>
    <w:rsid w:val="008203A3"/>
    <w:rsid w:val="00820435"/>
    <w:rsid w:val="00820B35"/>
    <w:rsid w:val="0082102C"/>
    <w:rsid w:val="0082135B"/>
    <w:rsid w:val="00821566"/>
    <w:rsid w:val="008218C3"/>
    <w:rsid w:val="00821AF2"/>
    <w:rsid w:val="00821C08"/>
    <w:rsid w:val="00821F11"/>
    <w:rsid w:val="00822198"/>
    <w:rsid w:val="0082272E"/>
    <w:rsid w:val="008228DA"/>
    <w:rsid w:val="00822935"/>
    <w:rsid w:val="00822995"/>
    <w:rsid w:val="00822FA7"/>
    <w:rsid w:val="0082329F"/>
    <w:rsid w:val="008233BA"/>
    <w:rsid w:val="008238AA"/>
    <w:rsid w:val="00823930"/>
    <w:rsid w:val="00823AB1"/>
    <w:rsid w:val="00823EAB"/>
    <w:rsid w:val="00823F82"/>
    <w:rsid w:val="0082429C"/>
    <w:rsid w:val="008242BC"/>
    <w:rsid w:val="00824E3C"/>
    <w:rsid w:val="0082532F"/>
    <w:rsid w:val="00825481"/>
    <w:rsid w:val="00825BE2"/>
    <w:rsid w:val="00825CE8"/>
    <w:rsid w:val="00825E3B"/>
    <w:rsid w:val="00825F6A"/>
    <w:rsid w:val="00826146"/>
    <w:rsid w:val="00826617"/>
    <w:rsid w:val="00826740"/>
    <w:rsid w:val="008267E7"/>
    <w:rsid w:val="008268CE"/>
    <w:rsid w:val="00826A3B"/>
    <w:rsid w:val="00826C1D"/>
    <w:rsid w:val="00826C86"/>
    <w:rsid w:val="00826D56"/>
    <w:rsid w:val="0082728F"/>
    <w:rsid w:val="00827840"/>
    <w:rsid w:val="00827937"/>
    <w:rsid w:val="00827DD6"/>
    <w:rsid w:val="00827E29"/>
    <w:rsid w:val="0083006C"/>
    <w:rsid w:val="00830351"/>
    <w:rsid w:val="00830503"/>
    <w:rsid w:val="00830606"/>
    <w:rsid w:val="00830709"/>
    <w:rsid w:val="00830B4C"/>
    <w:rsid w:val="00830B71"/>
    <w:rsid w:val="00830C86"/>
    <w:rsid w:val="00830F53"/>
    <w:rsid w:val="008312F6"/>
    <w:rsid w:val="008314E2"/>
    <w:rsid w:val="00831804"/>
    <w:rsid w:val="00831B17"/>
    <w:rsid w:val="00831C2B"/>
    <w:rsid w:val="00832470"/>
    <w:rsid w:val="00832CDC"/>
    <w:rsid w:val="00832E2B"/>
    <w:rsid w:val="008335AB"/>
    <w:rsid w:val="008335EF"/>
    <w:rsid w:val="0083397C"/>
    <w:rsid w:val="00833F58"/>
    <w:rsid w:val="00833F7D"/>
    <w:rsid w:val="0083432B"/>
    <w:rsid w:val="00834BCD"/>
    <w:rsid w:val="00834C1F"/>
    <w:rsid w:val="00834C64"/>
    <w:rsid w:val="0083586E"/>
    <w:rsid w:val="00835C77"/>
    <w:rsid w:val="00835F76"/>
    <w:rsid w:val="008361E4"/>
    <w:rsid w:val="008363C6"/>
    <w:rsid w:val="00836660"/>
    <w:rsid w:val="008366D6"/>
    <w:rsid w:val="008366FA"/>
    <w:rsid w:val="00836EDC"/>
    <w:rsid w:val="00836EDD"/>
    <w:rsid w:val="00836F96"/>
    <w:rsid w:val="00837484"/>
    <w:rsid w:val="00837567"/>
    <w:rsid w:val="00837CAC"/>
    <w:rsid w:val="0084037C"/>
    <w:rsid w:val="0084078D"/>
    <w:rsid w:val="008408EF"/>
    <w:rsid w:val="00840A9D"/>
    <w:rsid w:val="00840C1C"/>
    <w:rsid w:val="0084106A"/>
    <w:rsid w:val="00841501"/>
    <w:rsid w:val="00841961"/>
    <w:rsid w:val="00841A68"/>
    <w:rsid w:val="00841B4D"/>
    <w:rsid w:val="00842561"/>
    <w:rsid w:val="008425DC"/>
    <w:rsid w:val="00842C89"/>
    <w:rsid w:val="008430CE"/>
    <w:rsid w:val="00843247"/>
    <w:rsid w:val="0084342F"/>
    <w:rsid w:val="008436D8"/>
    <w:rsid w:val="008439A7"/>
    <w:rsid w:val="008439C0"/>
    <w:rsid w:val="008439E4"/>
    <w:rsid w:val="00843D5F"/>
    <w:rsid w:val="00843DE6"/>
    <w:rsid w:val="00843FAC"/>
    <w:rsid w:val="008448E9"/>
    <w:rsid w:val="00844C82"/>
    <w:rsid w:val="00844DD3"/>
    <w:rsid w:val="0084529F"/>
    <w:rsid w:val="0084530F"/>
    <w:rsid w:val="0084540B"/>
    <w:rsid w:val="00845448"/>
    <w:rsid w:val="008455CF"/>
    <w:rsid w:val="0084582F"/>
    <w:rsid w:val="00845947"/>
    <w:rsid w:val="00845A40"/>
    <w:rsid w:val="00845A7B"/>
    <w:rsid w:val="00845F49"/>
    <w:rsid w:val="008462E3"/>
    <w:rsid w:val="00846543"/>
    <w:rsid w:val="00846A9A"/>
    <w:rsid w:val="00846BC5"/>
    <w:rsid w:val="00846E4E"/>
    <w:rsid w:val="008470BC"/>
    <w:rsid w:val="0084738F"/>
    <w:rsid w:val="008474CC"/>
    <w:rsid w:val="00847508"/>
    <w:rsid w:val="008478B1"/>
    <w:rsid w:val="008479AD"/>
    <w:rsid w:val="008479D4"/>
    <w:rsid w:val="00847FC1"/>
    <w:rsid w:val="008514CE"/>
    <w:rsid w:val="0085188A"/>
    <w:rsid w:val="00851BDD"/>
    <w:rsid w:val="00852B53"/>
    <w:rsid w:val="00852F26"/>
    <w:rsid w:val="00853097"/>
    <w:rsid w:val="0085341B"/>
    <w:rsid w:val="00853593"/>
    <w:rsid w:val="00853666"/>
    <w:rsid w:val="00853A56"/>
    <w:rsid w:val="00853B36"/>
    <w:rsid w:val="00853B63"/>
    <w:rsid w:val="00853C77"/>
    <w:rsid w:val="00854034"/>
    <w:rsid w:val="0085422D"/>
    <w:rsid w:val="00854497"/>
    <w:rsid w:val="0085458C"/>
    <w:rsid w:val="008546EA"/>
    <w:rsid w:val="008548BD"/>
    <w:rsid w:val="00854B1A"/>
    <w:rsid w:val="00854CA2"/>
    <w:rsid w:val="00854FEB"/>
    <w:rsid w:val="00855195"/>
    <w:rsid w:val="0085531B"/>
    <w:rsid w:val="00855504"/>
    <w:rsid w:val="00855667"/>
    <w:rsid w:val="008557F1"/>
    <w:rsid w:val="00855FD2"/>
    <w:rsid w:val="0085601C"/>
    <w:rsid w:val="00856303"/>
    <w:rsid w:val="008564E8"/>
    <w:rsid w:val="0085664A"/>
    <w:rsid w:val="0085666B"/>
    <w:rsid w:val="00856B6C"/>
    <w:rsid w:val="00856DAF"/>
    <w:rsid w:val="00857086"/>
    <w:rsid w:val="0085765C"/>
    <w:rsid w:val="00857831"/>
    <w:rsid w:val="00857E5E"/>
    <w:rsid w:val="00857F2E"/>
    <w:rsid w:val="008603B5"/>
    <w:rsid w:val="008604E8"/>
    <w:rsid w:val="0086059B"/>
    <w:rsid w:val="008607BD"/>
    <w:rsid w:val="008608F5"/>
    <w:rsid w:val="00860998"/>
    <w:rsid w:val="00860E7C"/>
    <w:rsid w:val="00860F6E"/>
    <w:rsid w:val="008615E9"/>
    <w:rsid w:val="0086177B"/>
    <w:rsid w:val="00861795"/>
    <w:rsid w:val="00861F4C"/>
    <w:rsid w:val="00862128"/>
    <w:rsid w:val="008621D0"/>
    <w:rsid w:val="008623DC"/>
    <w:rsid w:val="008624CA"/>
    <w:rsid w:val="0086259D"/>
    <w:rsid w:val="0086313A"/>
    <w:rsid w:val="00863285"/>
    <w:rsid w:val="008636EA"/>
    <w:rsid w:val="008638DA"/>
    <w:rsid w:val="0086393E"/>
    <w:rsid w:val="00863A08"/>
    <w:rsid w:val="00863C39"/>
    <w:rsid w:val="00863E71"/>
    <w:rsid w:val="00863FFE"/>
    <w:rsid w:val="00864020"/>
    <w:rsid w:val="008641DE"/>
    <w:rsid w:val="0086422D"/>
    <w:rsid w:val="00864466"/>
    <w:rsid w:val="0086498F"/>
    <w:rsid w:val="00864AF1"/>
    <w:rsid w:val="00864DB7"/>
    <w:rsid w:val="00864EDF"/>
    <w:rsid w:val="00864FB7"/>
    <w:rsid w:val="00865014"/>
    <w:rsid w:val="008652D9"/>
    <w:rsid w:val="00865846"/>
    <w:rsid w:val="00865879"/>
    <w:rsid w:val="0086595C"/>
    <w:rsid w:val="00865BE0"/>
    <w:rsid w:val="00865F5D"/>
    <w:rsid w:val="008663E0"/>
    <w:rsid w:val="008663F2"/>
    <w:rsid w:val="0086667C"/>
    <w:rsid w:val="00866A04"/>
    <w:rsid w:val="00866B39"/>
    <w:rsid w:val="00866F8C"/>
    <w:rsid w:val="008671B6"/>
    <w:rsid w:val="008672DD"/>
    <w:rsid w:val="008678AB"/>
    <w:rsid w:val="00867C6E"/>
    <w:rsid w:val="00867F81"/>
    <w:rsid w:val="00867FB7"/>
    <w:rsid w:val="008709D1"/>
    <w:rsid w:val="00870E7C"/>
    <w:rsid w:val="00870EC3"/>
    <w:rsid w:val="0087108F"/>
    <w:rsid w:val="00871227"/>
    <w:rsid w:val="008714C6"/>
    <w:rsid w:val="0087168F"/>
    <w:rsid w:val="0087184C"/>
    <w:rsid w:val="00871BF1"/>
    <w:rsid w:val="00871DE2"/>
    <w:rsid w:val="00871E02"/>
    <w:rsid w:val="00871E99"/>
    <w:rsid w:val="00872238"/>
    <w:rsid w:val="008724FC"/>
    <w:rsid w:val="008728E4"/>
    <w:rsid w:val="008729BD"/>
    <w:rsid w:val="00872C9F"/>
    <w:rsid w:val="00872D7D"/>
    <w:rsid w:val="00872E92"/>
    <w:rsid w:val="00872F57"/>
    <w:rsid w:val="0087339C"/>
    <w:rsid w:val="00873525"/>
    <w:rsid w:val="00873767"/>
    <w:rsid w:val="008737ED"/>
    <w:rsid w:val="008737FF"/>
    <w:rsid w:val="00873C0A"/>
    <w:rsid w:val="00873DC5"/>
    <w:rsid w:val="00873DEF"/>
    <w:rsid w:val="008740E4"/>
    <w:rsid w:val="008741EA"/>
    <w:rsid w:val="00874287"/>
    <w:rsid w:val="00874319"/>
    <w:rsid w:val="008747D6"/>
    <w:rsid w:val="008748A1"/>
    <w:rsid w:val="00874D35"/>
    <w:rsid w:val="0087513E"/>
    <w:rsid w:val="008756F2"/>
    <w:rsid w:val="00875A2C"/>
    <w:rsid w:val="00875AA5"/>
    <w:rsid w:val="00875E93"/>
    <w:rsid w:val="00876050"/>
    <w:rsid w:val="0087644D"/>
    <w:rsid w:val="00876A9E"/>
    <w:rsid w:val="00876FDB"/>
    <w:rsid w:val="0087716D"/>
    <w:rsid w:val="008772E5"/>
    <w:rsid w:val="0087770C"/>
    <w:rsid w:val="008778C4"/>
    <w:rsid w:val="0087798D"/>
    <w:rsid w:val="008779A3"/>
    <w:rsid w:val="00877C75"/>
    <w:rsid w:val="00877F91"/>
    <w:rsid w:val="00880209"/>
    <w:rsid w:val="008805F3"/>
    <w:rsid w:val="00880797"/>
    <w:rsid w:val="0088091B"/>
    <w:rsid w:val="00880B03"/>
    <w:rsid w:val="00880B9B"/>
    <w:rsid w:val="00881080"/>
    <w:rsid w:val="008810B0"/>
    <w:rsid w:val="008812CD"/>
    <w:rsid w:val="0088132A"/>
    <w:rsid w:val="0088136E"/>
    <w:rsid w:val="008815F2"/>
    <w:rsid w:val="0088171A"/>
    <w:rsid w:val="0088183D"/>
    <w:rsid w:val="00881843"/>
    <w:rsid w:val="008818C1"/>
    <w:rsid w:val="0088198B"/>
    <w:rsid w:val="00881BFB"/>
    <w:rsid w:val="00881DA9"/>
    <w:rsid w:val="00881F8D"/>
    <w:rsid w:val="008827D3"/>
    <w:rsid w:val="00882C5C"/>
    <w:rsid w:val="00882C68"/>
    <w:rsid w:val="00882CC0"/>
    <w:rsid w:val="00882F85"/>
    <w:rsid w:val="00883053"/>
    <w:rsid w:val="00883059"/>
    <w:rsid w:val="008831B2"/>
    <w:rsid w:val="0088332D"/>
    <w:rsid w:val="008833B2"/>
    <w:rsid w:val="0088346D"/>
    <w:rsid w:val="0088355F"/>
    <w:rsid w:val="008837C1"/>
    <w:rsid w:val="0088393C"/>
    <w:rsid w:val="00884481"/>
    <w:rsid w:val="008847BD"/>
    <w:rsid w:val="00884851"/>
    <w:rsid w:val="008850F4"/>
    <w:rsid w:val="008851C1"/>
    <w:rsid w:val="00885670"/>
    <w:rsid w:val="00885698"/>
    <w:rsid w:val="008859A8"/>
    <w:rsid w:val="00885E2D"/>
    <w:rsid w:val="00886061"/>
    <w:rsid w:val="00886534"/>
    <w:rsid w:val="00886569"/>
    <w:rsid w:val="00886A25"/>
    <w:rsid w:val="00886B36"/>
    <w:rsid w:val="00886B80"/>
    <w:rsid w:val="00886C12"/>
    <w:rsid w:val="0088749F"/>
    <w:rsid w:val="00887648"/>
    <w:rsid w:val="00887B16"/>
    <w:rsid w:val="00887EAA"/>
    <w:rsid w:val="00890830"/>
    <w:rsid w:val="00890BF3"/>
    <w:rsid w:val="00890C2C"/>
    <w:rsid w:val="00891004"/>
    <w:rsid w:val="0089120E"/>
    <w:rsid w:val="008912D2"/>
    <w:rsid w:val="008914F4"/>
    <w:rsid w:val="00891505"/>
    <w:rsid w:val="0089172E"/>
    <w:rsid w:val="00891B8B"/>
    <w:rsid w:val="00891C2C"/>
    <w:rsid w:val="00891CD7"/>
    <w:rsid w:val="00891D63"/>
    <w:rsid w:val="00891EE9"/>
    <w:rsid w:val="00892238"/>
    <w:rsid w:val="00892440"/>
    <w:rsid w:val="008925C7"/>
    <w:rsid w:val="00892671"/>
    <w:rsid w:val="00892A92"/>
    <w:rsid w:val="00892D70"/>
    <w:rsid w:val="00892DB6"/>
    <w:rsid w:val="00892F61"/>
    <w:rsid w:val="0089309F"/>
    <w:rsid w:val="0089388B"/>
    <w:rsid w:val="00893923"/>
    <w:rsid w:val="00893D47"/>
    <w:rsid w:val="00893E10"/>
    <w:rsid w:val="00893E62"/>
    <w:rsid w:val="00893F79"/>
    <w:rsid w:val="0089433B"/>
    <w:rsid w:val="00894776"/>
    <w:rsid w:val="0089493B"/>
    <w:rsid w:val="00894AB4"/>
    <w:rsid w:val="00894E03"/>
    <w:rsid w:val="008950C1"/>
    <w:rsid w:val="008950C7"/>
    <w:rsid w:val="00895222"/>
    <w:rsid w:val="0089533E"/>
    <w:rsid w:val="008954E1"/>
    <w:rsid w:val="0089576D"/>
    <w:rsid w:val="008958C3"/>
    <w:rsid w:val="00895922"/>
    <w:rsid w:val="0089599F"/>
    <w:rsid w:val="00895A49"/>
    <w:rsid w:val="00895CF0"/>
    <w:rsid w:val="00895D29"/>
    <w:rsid w:val="0089610D"/>
    <w:rsid w:val="0089621F"/>
    <w:rsid w:val="00896250"/>
    <w:rsid w:val="008967D0"/>
    <w:rsid w:val="00896871"/>
    <w:rsid w:val="00896947"/>
    <w:rsid w:val="008969DA"/>
    <w:rsid w:val="00896BA5"/>
    <w:rsid w:val="00896C43"/>
    <w:rsid w:val="00896D2F"/>
    <w:rsid w:val="0089712F"/>
    <w:rsid w:val="0089717D"/>
    <w:rsid w:val="008974BC"/>
    <w:rsid w:val="0089771B"/>
    <w:rsid w:val="0089779E"/>
    <w:rsid w:val="008977E7"/>
    <w:rsid w:val="00897CDE"/>
    <w:rsid w:val="00897CFF"/>
    <w:rsid w:val="00897E39"/>
    <w:rsid w:val="008A0035"/>
    <w:rsid w:val="008A01E7"/>
    <w:rsid w:val="008A01E8"/>
    <w:rsid w:val="008A038B"/>
    <w:rsid w:val="008A03E4"/>
    <w:rsid w:val="008A05C2"/>
    <w:rsid w:val="008A05D0"/>
    <w:rsid w:val="008A08F0"/>
    <w:rsid w:val="008A0BD8"/>
    <w:rsid w:val="008A0BD9"/>
    <w:rsid w:val="008A0E23"/>
    <w:rsid w:val="008A0E73"/>
    <w:rsid w:val="008A0F35"/>
    <w:rsid w:val="008A1025"/>
    <w:rsid w:val="008A1073"/>
    <w:rsid w:val="008A1957"/>
    <w:rsid w:val="008A19EA"/>
    <w:rsid w:val="008A1CA3"/>
    <w:rsid w:val="008A1EB6"/>
    <w:rsid w:val="008A22B6"/>
    <w:rsid w:val="008A22CB"/>
    <w:rsid w:val="008A252E"/>
    <w:rsid w:val="008A2544"/>
    <w:rsid w:val="008A29EF"/>
    <w:rsid w:val="008A2B58"/>
    <w:rsid w:val="008A2FF7"/>
    <w:rsid w:val="008A3193"/>
    <w:rsid w:val="008A342D"/>
    <w:rsid w:val="008A359F"/>
    <w:rsid w:val="008A3671"/>
    <w:rsid w:val="008A397B"/>
    <w:rsid w:val="008A3A53"/>
    <w:rsid w:val="008A3EA4"/>
    <w:rsid w:val="008A41DD"/>
    <w:rsid w:val="008A449D"/>
    <w:rsid w:val="008A45B4"/>
    <w:rsid w:val="008A4715"/>
    <w:rsid w:val="008A4A19"/>
    <w:rsid w:val="008A4EA4"/>
    <w:rsid w:val="008A4F72"/>
    <w:rsid w:val="008A5003"/>
    <w:rsid w:val="008A592F"/>
    <w:rsid w:val="008A5A0F"/>
    <w:rsid w:val="008A5D3F"/>
    <w:rsid w:val="008A5DCD"/>
    <w:rsid w:val="008A5F7D"/>
    <w:rsid w:val="008A61D4"/>
    <w:rsid w:val="008A63AC"/>
    <w:rsid w:val="008A6569"/>
    <w:rsid w:val="008A6A99"/>
    <w:rsid w:val="008A6B0A"/>
    <w:rsid w:val="008A6DC9"/>
    <w:rsid w:val="008A75E6"/>
    <w:rsid w:val="008A7734"/>
    <w:rsid w:val="008A7749"/>
    <w:rsid w:val="008A7843"/>
    <w:rsid w:val="008A7871"/>
    <w:rsid w:val="008A79C5"/>
    <w:rsid w:val="008A7CD4"/>
    <w:rsid w:val="008A7CEC"/>
    <w:rsid w:val="008A7D6B"/>
    <w:rsid w:val="008A7E32"/>
    <w:rsid w:val="008B0404"/>
    <w:rsid w:val="008B0FE8"/>
    <w:rsid w:val="008B122C"/>
    <w:rsid w:val="008B15C5"/>
    <w:rsid w:val="008B15DB"/>
    <w:rsid w:val="008B1869"/>
    <w:rsid w:val="008B1BB5"/>
    <w:rsid w:val="008B23EA"/>
    <w:rsid w:val="008B2E17"/>
    <w:rsid w:val="008B2FEC"/>
    <w:rsid w:val="008B30D1"/>
    <w:rsid w:val="008B30D3"/>
    <w:rsid w:val="008B3410"/>
    <w:rsid w:val="008B3921"/>
    <w:rsid w:val="008B39ED"/>
    <w:rsid w:val="008B3E17"/>
    <w:rsid w:val="008B41EB"/>
    <w:rsid w:val="008B4788"/>
    <w:rsid w:val="008B484D"/>
    <w:rsid w:val="008B4A49"/>
    <w:rsid w:val="008B4A98"/>
    <w:rsid w:val="008B4E87"/>
    <w:rsid w:val="008B5436"/>
    <w:rsid w:val="008B560C"/>
    <w:rsid w:val="008B56B7"/>
    <w:rsid w:val="008B59B0"/>
    <w:rsid w:val="008B59F9"/>
    <w:rsid w:val="008B5B8D"/>
    <w:rsid w:val="008B5C6B"/>
    <w:rsid w:val="008B63DA"/>
    <w:rsid w:val="008B6C01"/>
    <w:rsid w:val="008B6E3F"/>
    <w:rsid w:val="008B70C8"/>
    <w:rsid w:val="008B7556"/>
    <w:rsid w:val="008B7988"/>
    <w:rsid w:val="008B7AAC"/>
    <w:rsid w:val="008B7D92"/>
    <w:rsid w:val="008B7FD4"/>
    <w:rsid w:val="008C08A1"/>
    <w:rsid w:val="008C09EE"/>
    <w:rsid w:val="008C0B93"/>
    <w:rsid w:val="008C0D59"/>
    <w:rsid w:val="008C0EEF"/>
    <w:rsid w:val="008C122C"/>
    <w:rsid w:val="008C1298"/>
    <w:rsid w:val="008C1649"/>
    <w:rsid w:val="008C1897"/>
    <w:rsid w:val="008C19FA"/>
    <w:rsid w:val="008C1BE5"/>
    <w:rsid w:val="008C1C17"/>
    <w:rsid w:val="008C253F"/>
    <w:rsid w:val="008C2641"/>
    <w:rsid w:val="008C27D2"/>
    <w:rsid w:val="008C281C"/>
    <w:rsid w:val="008C2ADC"/>
    <w:rsid w:val="008C3295"/>
    <w:rsid w:val="008C355D"/>
    <w:rsid w:val="008C3597"/>
    <w:rsid w:val="008C385A"/>
    <w:rsid w:val="008C393C"/>
    <w:rsid w:val="008C3B60"/>
    <w:rsid w:val="008C3C56"/>
    <w:rsid w:val="008C439A"/>
    <w:rsid w:val="008C4999"/>
    <w:rsid w:val="008C4BA9"/>
    <w:rsid w:val="008C4D06"/>
    <w:rsid w:val="008C4E1D"/>
    <w:rsid w:val="008C4F3C"/>
    <w:rsid w:val="008C52FC"/>
    <w:rsid w:val="008C5659"/>
    <w:rsid w:val="008C57BA"/>
    <w:rsid w:val="008C5823"/>
    <w:rsid w:val="008C582E"/>
    <w:rsid w:val="008C5B60"/>
    <w:rsid w:val="008C5F44"/>
    <w:rsid w:val="008C6474"/>
    <w:rsid w:val="008C666D"/>
    <w:rsid w:val="008C6698"/>
    <w:rsid w:val="008C6809"/>
    <w:rsid w:val="008C683B"/>
    <w:rsid w:val="008C698C"/>
    <w:rsid w:val="008C6BAD"/>
    <w:rsid w:val="008C6D3A"/>
    <w:rsid w:val="008C7253"/>
    <w:rsid w:val="008C73E1"/>
    <w:rsid w:val="008C78E2"/>
    <w:rsid w:val="008C79CD"/>
    <w:rsid w:val="008C7B8B"/>
    <w:rsid w:val="008C7BB4"/>
    <w:rsid w:val="008C7C1C"/>
    <w:rsid w:val="008C7E05"/>
    <w:rsid w:val="008C7F50"/>
    <w:rsid w:val="008D00C0"/>
    <w:rsid w:val="008D016A"/>
    <w:rsid w:val="008D01B5"/>
    <w:rsid w:val="008D0330"/>
    <w:rsid w:val="008D0351"/>
    <w:rsid w:val="008D0726"/>
    <w:rsid w:val="008D08A9"/>
    <w:rsid w:val="008D09DB"/>
    <w:rsid w:val="008D0ACE"/>
    <w:rsid w:val="008D0CB9"/>
    <w:rsid w:val="008D0ED5"/>
    <w:rsid w:val="008D0F3D"/>
    <w:rsid w:val="008D0F6F"/>
    <w:rsid w:val="008D10C1"/>
    <w:rsid w:val="008D171F"/>
    <w:rsid w:val="008D17E8"/>
    <w:rsid w:val="008D189E"/>
    <w:rsid w:val="008D1B6D"/>
    <w:rsid w:val="008D1B98"/>
    <w:rsid w:val="008D1BF2"/>
    <w:rsid w:val="008D2208"/>
    <w:rsid w:val="008D24A4"/>
    <w:rsid w:val="008D2512"/>
    <w:rsid w:val="008D25A1"/>
    <w:rsid w:val="008D26B5"/>
    <w:rsid w:val="008D28B9"/>
    <w:rsid w:val="008D28C1"/>
    <w:rsid w:val="008D2A2A"/>
    <w:rsid w:val="008D32D8"/>
    <w:rsid w:val="008D365F"/>
    <w:rsid w:val="008D370F"/>
    <w:rsid w:val="008D378D"/>
    <w:rsid w:val="008D3863"/>
    <w:rsid w:val="008D3937"/>
    <w:rsid w:val="008D3B4B"/>
    <w:rsid w:val="008D3DA8"/>
    <w:rsid w:val="008D4057"/>
    <w:rsid w:val="008D463A"/>
    <w:rsid w:val="008D47BA"/>
    <w:rsid w:val="008D4C1C"/>
    <w:rsid w:val="008D4C34"/>
    <w:rsid w:val="008D52FB"/>
    <w:rsid w:val="008D5708"/>
    <w:rsid w:val="008D58CD"/>
    <w:rsid w:val="008D5CB2"/>
    <w:rsid w:val="008D5E97"/>
    <w:rsid w:val="008D6479"/>
    <w:rsid w:val="008D6C7F"/>
    <w:rsid w:val="008D6CC8"/>
    <w:rsid w:val="008D6F2B"/>
    <w:rsid w:val="008D740A"/>
    <w:rsid w:val="008D7A7F"/>
    <w:rsid w:val="008D7AF4"/>
    <w:rsid w:val="008D7BAA"/>
    <w:rsid w:val="008D7E73"/>
    <w:rsid w:val="008E0682"/>
    <w:rsid w:val="008E09AC"/>
    <w:rsid w:val="008E0B01"/>
    <w:rsid w:val="008E0C83"/>
    <w:rsid w:val="008E0DBB"/>
    <w:rsid w:val="008E10CA"/>
    <w:rsid w:val="008E121E"/>
    <w:rsid w:val="008E17B1"/>
    <w:rsid w:val="008E1B49"/>
    <w:rsid w:val="008E1BF8"/>
    <w:rsid w:val="008E1D85"/>
    <w:rsid w:val="008E1DE4"/>
    <w:rsid w:val="008E1EE2"/>
    <w:rsid w:val="008E1F22"/>
    <w:rsid w:val="008E2121"/>
    <w:rsid w:val="008E2129"/>
    <w:rsid w:val="008E2130"/>
    <w:rsid w:val="008E2387"/>
    <w:rsid w:val="008E23E8"/>
    <w:rsid w:val="008E27E4"/>
    <w:rsid w:val="008E2A10"/>
    <w:rsid w:val="008E2A50"/>
    <w:rsid w:val="008E307A"/>
    <w:rsid w:val="008E3365"/>
    <w:rsid w:val="008E3458"/>
    <w:rsid w:val="008E3460"/>
    <w:rsid w:val="008E349C"/>
    <w:rsid w:val="008E3901"/>
    <w:rsid w:val="008E4212"/>
    <w:rsid w:val="008E43C3"/>
    <w:rsid w:val="008E44FA"/>
    <w:rsid w:val="008E4502"/>
    <w:rsid w:val="008E45FD"/>
    <w:rsid w:val="008E461D"/>
    <w:rsid w:val="008E46C5"/>
    <w:rsid w:val="008E470A"/>
    <w:rsid w:val="008E47DA"/>
    <w:rsid w:val="008E4A59"/>
    <w:rsid w:val="008E4CB8"/>
    <w:rsid w:val="008E4FA3"/>
    <w:rsid w:val="008E5649"/>
    <w:rsid w:val="008E5DC7"/>
    <w:rsid w:val="008E60EA"/>
    <w:rsid w:val="008E60F8"/>
    <w:rsid w:val="008E6375"/>
    <w:rsid w:val="008E63BA"/>
    <w:rsid w:val="008E63DA"/>
    <w:rsid w:val="008E653B"/>
    <w:rsid w:val="008E658A"/>
    <w:rsid w:val="008E671B"/>
    <w:rsid w:val="008E6A7F"/>
    <w:rsid w:val="008E6B02"/>
    <w:rsid w:val="008E6CE4"/>
    <w:rsid w:val="008E6D89"/>
    <w:rsid w:val="008E726C"/>
    <w:rsid w:val="008E729F"/>
    <w:rsid w:val="008E7B9D"/>
    <w:rsid w:val="008E7C7C"/>
    <w:rsid w:val="008E7D7E"/>
    <w:rsid w:val="008F00E4"/>
    <w:rsid w:val="008F010F"/>
    <w:rsid w:val="008F0539"/>
    <w:rsid w:val="008F0555"/>
    <w:rsid w:val="008F0773"/>
    <w:rsid w:val="008F0B4D"/>
    <w:rsid w:val="008F116C"/>
    <w:rsid w:val="008F11A4"/>
    <w:rsid w:val="008F1270"/>
    <w:rsid w:val="008F151E"/>
    <w:rsid w:val="008F1641"/>
    <w:rsid w:val="008F1D11"/>
    <w:rsid w:val="008F2007"/>
    <w:rsid w:val="008F203B"/>
    <w:rsid w:val="008F209D"/>
    <w:rsid w:val="008F224E"/>
    <w:rsid w:val="008F26AE"/>
    <w:rsid w:val="008F26FF"/>
    <w:rsid w:val="008F270D"/>
    <w:rsid w:val="008F28FB"/>
    <w:rsid w:val="008F298F"/>
    <w:rsid w:val="008F2ADC"/>
    <w:rsid w:val="008F2C6C"/>
    <w:rsid w:val="008F2D67"/>
    <w:rsid w:val="008F3148"/>
    <w:rsid w:val="008F331B"/>
    <w:rsid w:val="008F3489"/>
    <w:rsid w:val="008F38DF"/>
    <w:rsid w:val="008F395E"/>
    <w:rsid w:val="008F3988"/>
    <w:rsid w:val="008F3C54"/>
    <w:rsid w:val="008F3CB3"/>
    <w:rsid w:val="008F3DA5"/>
    <w:rsid w:val="008F3F04"/>
    <w:rsid w:val="008F421A"/>
    <w:rsid w:val="008F4236"/>
    <w:rsid w:val="008F4505"/>
    <w:rsid w:val="008F46DC"/>
    <w:rsid w:val="008F48F2"/>
    <w:rsid w:val="008F4A03"/>
    <w:rsid w:val="008F4A61"/>
    <w:rsid w:val="008F51F2"/>
    <w:rsid w:val="008F5287"/>
    <w:rsid w:val="008F5363"/>
    <w:rsid w:val="008F556A"/>
    <w:rsid w:val="008F574A"/>
    <w:rsid w:val="008F5C84"/>
    <w:rsid w:val="008F5D52"/>
    <w:rsid w:val="008F5DE3"/>
    <w:rsid w:val="008F5DE5"/>
    <w:rsid w:val="008F5F3B"/>
    <w:rsid w:val="008F69B2"/>
    <w:rsid w:val="008F6D99"/>
    <w:rsid w:val="008F6E7E"/>
    <w:rsid w:val="008F7266"/>
    <w:rsid w:val="008F7695"/>
    <w:rsid w:val="008F76C4"/>
    <w:rsid w:val="008F7F10"/>
    <w:rsid w:val="0090017E"/>
    <w:rsid w:val="00900195"/>
    <w:rsid w:val="00900373"/>
    <w:rsid w:val="00900543"/>
    <w:rsid w:val="00900771"/>
    <w:rsid w:val="0090130B"/>
    <w:rsid w:val="00901417"/>
    <w:rsid w:val="00901450"/>
    <w:rsid w:val="00901658"/>
    <w:rsid w:val="009017B9"/>
    <w:rsid w:val="009018F3"/>
    <w:rsid w:val="00901BC7"/>
    <w:rsid w:val="00901C09"/>
    <w:rsid w:val="00901D07"/>
    <w:rsid w:val="00901DA1"/>
    <w:rsid w:val="00901EF5"/>
    <w:rsid w:val="00902134"/>
    <w:rsid w:val="0090276A"/>
    <w:rsid w:val="009027E0"/>
    <w:rsid w:val="00902898"/>
    <w:rsid w:val="009029F7"/>
    <w:rsid w:val="00902D12"/>
    <w:rsid w:val="00902F3A"/>
    <w:rsid w:val="0090307C"/>
    <w:rsid w:val="009030C6"/>
    <w:rsid w:val="00903112"/>
    <w:rsid w:val="009031F1"/>
    <w:rsid w:val="009033C0"/>
    <w:rsid w:val="0090356B"/>
    <w:rsid w:val="00903755"/>
    <w:rsid w:val="0090378F"/>
    <w:rsid w:val="0090411B"/>
    <w:rsid w:val="00904163"/>
    <w:rsid w:val="009043F4"/>
    <w:rsid w:val="0090450C"/>
    <w:rsid w:val="0090456B"/>
    <w:rsid w:val="00904993"/>
    <w:rsid w:val="00904C26"/>
    <w:rsid w:val="009051CB"/>
    <w:rsid w:val="00905457"/>
    <w:rsid w:val="009055D5"/>
    <w:rsid w:val="00905669"/>
    <w:rsid w:val="0090572F"/>
    <w:rsid w:val="0090597A"/>
    <w:rsid w:val="00905C54"/>
    <w:rsid w:val="00905E6D"/>
    <w:rsid w:val="009060F3"/>
    <w:rsid w:val="00906434"/>
    <w:rsid w:val="00906457"/>
    <w:rsid w:val="0090659F"/>
    <w:rsid w:val="009065C8"/>
    <w:rsid w:val="0090673C"/>
    <w:rsid w:val="00906BF8"/>
    <w:rsid w:val="00907126"/>
    <w:rsid w:val="00907144"/>
    <w:rsid w:val="0090717A"/>
    <w:rsid w:val="00907624"/>
    <w:rsid w:val="00907663"/>
    <w:rsid w:val="00907A3C"/>
    <w:rsid w:val="00907F83"/>
    <w:rsid w:val="00910746"/>
    <w:rsid w:val="009115AE"/>
    <w:rsid w:val="00911A08"/>
    <w:rsid w:val="00911F3C"/>
    <w:rsid w:val="00912381"/>
    <w:rsid w:val="00912FDB"/>
    <w:rsid w:val="00913355"/>
    <w:rsid w:val="00913393"/>
    <w:rsid w:val="009133C7"/>
    <w:rsid w:val="00913803"/>
    <w:rsid w:val="009138D7"/>
    <w:rsid w:val="009146BC"/>
    <w:rsid w:val="009146C8"/>
    <w:rsid w:val="009148C8"/>
    <w:rsid w:val="00914BFB"/>
    <w:rsid w:val="00914D6D"/>
    <w:rsid w:val="00914E4F"/>
    <w:rsid w:val="00915844"/>
    <w:rsid w:val="00915B8B"/>
    <w:rsid w:val="00915DC0"/>
    <w:rsid w:val="00915F1D"/>
    <w:rsid w:val="009162F6"/>
    <w:rsid w:val="009164BA"/>
    <w:rsid w:val="00916926"/>
    <w:rsid w:val="00916B9C"/>
    <w:rsid w:val="00916F3F"/>
    <w:rsid w:val="0091700C"/>
    <w:rsid w:val="00917803"/>
    <w:rsid w:val="00917CCF"/>
    <w:rsid w:val="00917DC1"/>
    <w:rsid w:val="00920023"/>
    <w:rsid w:val="00920167"/>
    <w:rsid w:val="00920422"/>
    <w:rsid w:val="00920430"/>
    <w:rsid w:val="00920756"/>
    <w:rsid w:val="00920B15"/>
    <w:rsid w:val="0092106F"/>
    <w:rsid w:val="00921427"/>
    <w:rsid w:val="009214B7"/>
    <w:rsid w:val="0092190D"/>
    <w:rsid w:val="009219B6"/>
    <w:rsid w:val="00921B32"/>
    <w:rsid w:val="00921F78"/>
    <w:rsid w:val="00921FE8"/>
    <w:rsid w:val="009220BF"/>
    <w:rsid w:val="009226B5"/>
    <w:rsid w:val="00922AC5"/>
    <w:rsid w:val="00922D2E"/>
    <w:rsid w:val="00922F16"/>
    <w:rsid w:val="00923194"/>
    <w:rsid w:val="009234C8"/>
    <w:rsid w:val="00923726"/>
    <w:rsid w:val="00923943"/>
    <w:rsid w:val="00923C29"/>
    <w:rsid w:val="00923C39"/>
    <w:rsid w:val="00923E39"/>
    <w:rsid w:val="00923EB7"/>
    <w:rsid w:val="00923EE6"/>
    <w:rsid w:val="00924091"/>
    <w:rsid w:val="0092437C"/>
    <w:rsid w:val="0092445E"/>
    <w:rsid w:val="009245D8"/>
    <w:rsid w:val="00924AAC"/>
    <w:rsid w:val="00924C39"/>
    <w:rsid w:val="00924DEF"/>
    <w:rsid w:val="009252AA"/>
    <w:rsid w:val="00925483"/>
    <w:rsid w:val="0092573B"/>
    <w:rsid w:val="00925BC7"/>
    <w:rsid w:val="0092629E"/>
    <w:rsid w:val="0092638C"/>
    <w:rsid w:val="009263F3"/>
    <w:rsid w:val="0092668A"/>
    <w:rsid w:val="0092686E"/>
    <w:rsid w:val="00926902"/>
    <w:rsid w:val="00926ADC"/>
    <w:rsid w:val="00927270"/>
    <w:rsid w:val="00927374"/>
    <w:rsid w:val="009274D4"/>
    <w:rsid w:val="0092761D"/>
    <w:rsid w:val="00927ABF"/>
    <w:rsid w:val="00927B9E"/>
    <w:rsid w:val="00927D81"/>
    <w:rsid w:val="00930194"/>
    <w:rsid w:val="009301AE"/>
    <w:rsid w:val="00930241"/>
    <w:rsid w:val="0093038E"/>
    <w:rsid w:val="009304ED"/>
    <w:rsid w:val="00930A0E"/>
    <w:rsid w:val="00930B40"/>
    <w:rsid w:val="00930DED"/>
    <w:rsid w:val="0093145D"/>
    <w:rsid w:val="00931878"/>
    <w:rsid w:val="00931B37"/>
    <w:rsid w:val="009320DD"/>
    <w:rsid w:val="009321C1"/>
    <w:rsid w:val="009326F4"/>
    <w:rsid w:val="009327FB"/>
    <w:rsid w:val="00932929"/>
    <w:rsid w:val="00932A16"/>
    <w:rsid w:val="00932B7E"/>
    <w:rsid w:val="00932EF3"/>
    <w:rsid w:val="00933016"/>
    <w:rsid w:val="0093313C"/>
    <w:rsid w:val="009331EB"/>
    <w:rsid w:val="009333D6"/>
    <w:rsid w:val="009333DA"/>
    <w:rsid w:val="0093348C"/>
    <w:rsid w:val="0093350A"/>
    <w:rsid w:val="0093367F"/>
    <w:rsid w:val="00933874"/>
    <w:rsid w:val="0093400D"/>
    <w:rsid w:val="009348AB"/>
    <w:rsid w:val="00934E43"/>
    <w:rsid w:val="00935241"/>
    <w:rsid w:val="0093536E"/>
    <w:rsid w:val="00935A48"/>
    <w:rsid w:val="00935AB2"/>
    <w:rsid w:val="00935B95"/>
    <w:rsid w:val="00936B4B"/>
    <w:rsid w:val="00936C36"/>
    <w:rsid w:val="0093721A"/>
    <w:rsid w:val="009379AB"/>
    <w:rsid w:val="00937E7F"/>
    <w:rsid w:val="009404E6"/>
    <w:rsid w:val="0094056D"/>
    <w:rsid w:val="0094089F"/>
    <w:rsid w:val="009409EE"/>
    <w:rsid w:val="00940D46"/>
    <w:rsid w:val="00940F3A"/>
    <w:rsid w:val="009410CF"/>
    <w:rsid w:val="0094118D"/>
    <w:rsid w:val="009411AA"/>
    <w:rsid w:val="0094125A"/>
    <w:rsid w:val="00941633"/>
    <w:rsid w:val="00941691"/>
    <w:rsid w:val="00941A71"/>
    <w:rsid w:val="00941CC5"/>
    <w:rsid w:val="009425CA"/>
    <w:rsid w:val="009426CA"/>
    <w:rsid w:val="00943136"/>
    <w:rsid w:val="009433B9"/>
    <w:rsid w:val="00943626"/>
    <w:rsid w:val="009436DB"/>
    <w:rsid w:val="00943715"/>
    <w:rsid w:val="00943B12"/>
    <w:rsid w:val="00943BC6"/>
    <w:rsid w:val="00943D3C"/>
    <w:rsid w:val="00943DC1"/>
    <w:rsid w:val="0094418E"/>
    <w:rsid w:val="00944711"/>
    <w:rsid w:val="009447FA"/>
    <w:rsid w:val="00944AB8"/>
    <w:rsid w:val="00944B2C"/>
    <w:rsid w:val="00944BB1"/>
    <w:rsid w:val="00944D3F"/>
    <w:rsid w:val="00945318"/>
    <w:rsid w:val="009453EB"/>
    <w:rsid w:val="009454B3"/>
    <w:rsid w:val="009454DE"/>
    <w:rsid w:val="009456A0"/>
    <w:rsid w:val="0094577B"/>
    <w:rsid w:val="00945957"/>
    <w:rsid w:val="00945FB3"/>
    <w:rsid w:val="00945FBD"/>
    <w:rsid w:val="00946449"/>
    <w:rsid w:val="00946636"/>
    <w:rsid w:val="0094670D"/>
    <w:rsid w:val="009467E0"/>
    <w:rsid w:val="00946B2F"/>
    <w:rsid w:val="00946D2D"/>
    <w:rsid w:val="0094707A"/>
    <w:rsid w:val="00947138"/>
    <w:rsid w:val="009479DC"/>
    <w:rsid w:val="00947FA3"/>
    <w:rsid w:val="0095008A"/>
    <w:rsid w:val="00950208"/>
    <w:rsid w:val="00950715"/>
    <w:rsid w:val="00950B36"/>
    <w:rsid w:val="00950B92"/>
    <w:rsid w:val="00950CDF"/>
    <w:rsid w:val="00950E50"/>
    <w:rsid w:val="00951200"/>
    <w:rsid w:val="0095157D"/>
    <w:rsid w:val="009516ED"/>
    <w:rsid w:val="009517E0"/>
    <w:rsid w:val="009521A8"/>
    <w:rsid w:val="00952304"/>
    <w:rsid w:val="009523F6"/>
    <w:rsid w:val="00952953"/>
    <w:rsid w:val="009529B0"/>
    <w:rsid w:val="009529D8"/>
    <w:rsid w:val="009529F2"/>
    <w:rsid w:val="00952DA4"/>
    <w:rsid w:val="00953021"/>
    <w:rsid w:val="009534CC"/>
    <w:rsid w:val="0095352E"/>
    <w:rsid w:val="009535A8"/>
    <w:rsid w:val="0095383E"/>
    <w:rsid w:val="00953A70"/>
    <w:rsid w:val="00953B74"/>
    <w:rsid w:val="00953CC1"/>
    <w:rsid w:val="00953DB4"/>
    <w:rsid w:val="00954C4B"/>
    <w:rsid w:val="00955308"/>
    <w:rsid w:val="00955D3A"/>
    <w:rsid w:val="00955D6A"/>
    <w:rsid w:val="00955D91"/>
    <w:rsid w:val="00955DCD"/>
    <w:rsid w:val="00955FA6"/>
    <w:rsid w:val="009560ED"/>
    <w:rsid w:val="00956578"/>
    <w:rsid w:val="009566C3"/>
    <w:rsid w:val="00956722"/>
    <w:rsid w:val="009568D3"/>
    <w:rsid w:val="00956A92"/>
    <w:rsid w:val="00956EBC"/>
    <w:rsid w:val="00957152"/>
    <w:rsid w:val="009572A4"/>
    <w:rsid w:val="00957358"/>
    <w:rsid w:val="00957634"/>
    <w:rsid w:val="009576ED"/>
    <w:rsid w:val="00957CB5"/>
    <w:rsid w:val="009601A0"/>
    <w:rsid w:val="00960990"/>
    <w:rsid w:val="00960B57"/>
    <w:rsid w:val="00960BD5"/>
    <w:rsid w:val="00960DD9"/>
    <w:rsid w:val="00960FFD"/>
    <w:rsid w:val="0096119C"/>
    <w:rsid w:val="009617B4"/>
    <w:rsid w:val="00961B99"/>
    <w:rsid w:val="00961D52"/>
    <w:rsid w:val="009620C2"/>
    <w:rsid w:val="009621AD"/>
    <w:rsid w:val="00962311"/>
    <w:rsid w:val="009624AB"/>
    <w:rsid w:val="00962635"/>
    <w:rsid w:val="00962CE0"/>
    <w:rsid w:val="00962E2E"/>
    <w:rsid w:val="009630E1"/>
    <w:rsid w:val="0096352D"/>
    <w:rsid w:val="00963A4F"/>
    <w:rsid w:val="00963EF9"/>
    <w:rsid w:val="00964034"/>
    <w:rsid w:val="009642BD"/>
    <w:rsid w:val="00964322"/>
    <w:rsid w:val="009643FC"/>
    <w:rsid w:val="009647AA"/>
    <w:rsid w:val="0096484B"/>
    <w:rsid w:val="00964874"/>
    <w:rsid w:val="00964D6F"/>
    <w:rsid w:val="00964F06"/>
    <w:rsid w:val="009653B9"/>
    <w:rsid w:val="009655B5"/>
    <w:rsid w:val="00965D8C"/>
    <w:rsid w:val="00965F20"/>
    <w:rsid w:val="0096641C"/>
    <w:rsid w:val="00966477"/>
    <w:rsid w:val="009664F1"/>
    <w:rsid w:val="00966606"/>
    <w:rsid w:val="009667D4"/>
    <w:rsid w:val="00966BA9"/>
    <w:rsid w:val="00966CF1"/>
    <w:rsid w:val="00966D38"/>
    <w:rsid w:val="00966ED9"/>
    <w:rsid w:val="00967543"/>
    <w:rsid w:val="009677B3"/>
    <w:rsid w:val="00967D6B"/>
    <w:rsid w:val="009701D8"/>
    <w:rsid w:val="009703BE"/>
    <w:rsid w:val="009705C0"/>
    <w:rsid w:val="00970897"/>
    <w:rsid w:val="00970975"/>
    <w:rsid w:val="00970A64"/>
    <w:rsid w:val="00970BBC"/>
    <w:rsid w:val="00970D11"/>
    <w:rsid w:val="00970DB1"/>
    <w:rsid w:val="00970E6A"/>
    <w:rsid w:val="00970ED6"/>
    <w:rsid w:val="00971097"/>
    <w:rsid w:val="00971696"/>
    <w:rsid w:val="0097173A"/>
    <w:rsid w:val="009717F1"/>
    <w:rsid w:val="00971A02"/>
    <w:rsid w:val="00971B9C"/>
    <w:rsid w:val="00971CA2"/>
    <w:rsid w:val="0097203F"/>
    <w:rsid w:val="00972104"/>
    <w:rsid w:val="00972223"/>
    <w:rsid w:val="009724A8"/>
    <w:rsid w:val="00972796"/>
    <w:rsid w:val="00972885"/>
    <w:rsid w:val="00972A07"/>
    <w:rsid w:val="00972B26"/>
    <w:rsid w:val="009730B9"/>
    <w:rsid w:val="009732D7"/>
    <w:rsid w:val="00973351"/>
    <w:rsid w:val="00973631"/>
    <w:rsid w:val="00973649"/>
    <w:rsid w:val="009737BC"/>
    <w:rsid w:val="009737EC"/>
    <w:rsid w:val="009739BD"/>
    <w:rsid w:val="00973A36"/>
    <w:rsid w:val="00973CEB"/>
    <w:rsid w:val="00973D1E"/>
    <w:rsid w:val="00973E72"/>
    <w:rsid w:val="00974146"/>
    <w:rsid w:val="00974324"/>
    <w:rsid w:val="00974950"/>
    <w:rsid w:val="00974C2A"/>
    <w:rsid w:val="00974F37"/>
    <w:rsid w:val="0097533E"/>
    <w:rsid w:val="0097579B"/>
    <w:rsid w:val="009759A4"/>
    <w:rsid w:val="009759EF"/>
    <w:rsid w:val="00975BE2"/>
    <w:rsid w:val="00976111"/>
    <w:rsid w:val="00976414"/>
    <w:rsid w:val="0097669D"/>
    <w:rsid w:val="0097681A"/>
    <w:rsid w:val="00976984"/>
    <w:rsid w:val="00976C60"/>
    <w:rsid w:val="00976D0A"/>
    <w:rsid w:val="0097706C"/>
    <w:rsid w:val="00977140"/>
    <w:rsid w:val="0097719B"/>
    <w:rsid w:val="009776EE"/>
    <w:rsid w:val="009779FB"/>
    <w:rsid w:val="00977A1C"/>
    <w:rsid w:val="00977B8C"/>
    <w:rsid w:val="00977E32"/>
    <w:rsid w:val="0098017D"/>
    <w:rsid w:val="009801F3"/>
    <w:rsid w:val="00980722"/>
    <w:rsid w:val="00980950"/>
    <w:rsid w:val="00980BAB"/>
    <w:rsid w:val="00980F06"/>
    <w:rsid w:val="0098100E"/>
    <w:rsid w:val="0098108E"/>
    <w:rsid w:val="00981152"/>
    <w:rsid w:val="009811DF"/>
    <w:rsid w:val="0098128C"/>
    <w:rsid w:val="00981628"/>
    <w:rsid w:val="009816E2"/>
    <w:rsid w:val="00981D0A"/>
    <w:rsid w:val="00982054"/>
    <w:rsid w:val="0098284F"/>
    <w:rsid w:val="00982A2E"/>
    <w:rsid w:val="00982C25"/>
    <w:rsid w:val="0098306E"/>
    <w:rsid w:val="0098307A"/>
    <w:rsid w:val="0098326A"/>
    <w:rsid w:val="00983574"/>
    <w:rsid w:val="009837F8"/>
    <w:rsid w:val="00983A74"/>
    <w:rsid w:val="00983AE4"/>
    <w:rsid w:val="00983BBF"/>
    <w:rsid w:val="00983D07"/>
    <w:rsid w:val="00984110"/>
    <w:rsid w:val="0098413C"/>
    <w:rsid w:val="00984541"/>
    <w:rsid w:val="0098477B"/>
    <w:rsid w:val="00984C26"/>
    <w:rsid w:val="00984D4D"/>
    <w:rsid w:val="0098518B"/>
    <w:rsid w:val="00985316"/>
    <w:rsid w:val="009859D4"/>
    <w:rsid w:val="00985A21"/>
    <w:rsid w:val="00985AD6"/>
    <w:rsid w:val="00985C47"/>
    <w:rsid w:val="00985CE8"/>
    <w:rsid w:val="00985F74"/>
    <w:rsid w:val="00985FAD"/>
    <w:rsid w:val="00986017"/>
    <w:rsid w:val="0098681D"/>
    <w:rsid w:val="00986B9D"/>
    <w:rsid w:val="00986E6A"/>
    <w:rsid w:val="00986FBF"/>
    <w:rsid w:val="0098743E"/>
    <w:rsid w:val="0098764A"/>
    <w:rsid w:val="0098789E"/>
    <w:rsid w:val="00987958"/>
    <w:rsid w:val="00987A91"/>
    <w:rsid w:val="00987AA1"/>
    <w:rsid w:val="00987DAA"/>
    <w:rsid w:val="00987FF1"/>
    <w:rsid w:val="009901FF"/>
    <w:rsid w:val="00990225"/>
    <w:rsid w:val="00990380"/>
    <w:rsid w:val="00990504"/>
    <w:rsid w:val="009905D9"/>
    <w:rsid w:val="00990768"/>
    <w:rsid w:val="0099088A"/>
    <w:rsid w:val="00990ABE"/>
    <w:rsid w:val="00990B24"/>
    <w:rsid w:val="00990B37"/>
    <w:rsid w:val="00990E04"/>
    <w:rsid w:val="00990F34"/>
    <w:rsid w:val="009912D7"/>
    <w:rsid w:val="00991413"/>
    <w:rsid w:val="00991868"/>
    <w:rsid w:val="00991AD5"/>
    <w:rsid w:val="00991DE7"/>
    <w:rsid w:val="00991E21"/>
    <w:rsid w:val="00991FBF"/>
    <w:rsid w:val="00992DEC"/>
    <w:rsid w:val="009930B7"/>
    <w:rsid w:val="00993142"/>
    <w:rsid w:val="0099321F"/>
    <w:rsid w:val="00993367"/>
    <w:rsid w:val="00993425"/>
    <w:rsid w:val="009935CB"/>
    <w:rsid w:val="00993760"/>
    <w:rsid w:val="00993841"/>
    <w:rsid w:val="00993CB2"/>
    <w:rsid w:val="00993DFD"/>
    <w:rsid w:val="00993F52"/>
    <w:rsid w:val="0099436C"/>
    <w:rsid w:val="0099493B"/>
    <w:rsid w:val="00994B21"/>
    <w:rsid w:val="00994BDD"/>
    <w:rsid w:val="00995597"/>
    <w:rsid w:val="00995647"/>
    <w:rsid w:val="009956E0"/>
    <w:rsid w:val="009957B3"/>
    <w:rsid w:val="00995995"/>
    <w:rsid w:val="00995B35"/>
    <w:rsid w:val="00995CB7"/>
    <w:rsid w:val="0099620D"/>
    <w:rsid w:val="0099620F"/>
    <w:rsid w:val="00996568"/>
    <w:rsid w:val="0099662B"/>
    <w:rsid w:val="00996DE4"/>
    <w:rsid w:val="00996F14"/>
    <w:rsid w:val="0099718C"/>
    <w:rsid w:val="009972BA"/>
    <w:rsid w:val="00997452"/>
    <w:rsid w:val="0099763C"/>
    <w:rsid w:val="0099770B"/>
    <w:rsid w:val="00997934"/>
    <w:rsid w:val="009979E0"/>
    <w:rsid w:val="00997F5B"/>
    <w:rsid w:val="009A0B67"/>
    <w:rsid w:val="009A0BDA"/>
    <w:rsid w:val="009A0EC6"/>
    <w:rsid w:val="009A1D13"/>
    <w:rsid w:val="009A226E"/>
    <w:rsid w:val="009A2641"/>
    <w:rsid w:val="009A26DF"/>
    <w:rsid w:val="009A2B9C"/>
    <w:rsid w:val="009A2C9F"/>
    <w:rsid w:val="009A32F1"/>
    <w:rsid w:val="009A3324"/>
    <w:rsid w:val="009A34C0"/>
    <w:rsid w:val="009A3524"/>
    <w:rsid w:val="009A3C46"/>
    <w:rsid w:val="009A3C5F"/>
    <w:rsid w:val="009A3E0F"/>
    <w:rsid w:val="009A4051"/>
    <w:rsid w:val="009A42CC"/>
    <w:rsid w:val="009A47ED"/>
    <w:rsid w:val="009A4B37"/>
    <w:rsid w:val="009A4D13"/>
    <w:rsid w:val="009A563A"/>
    <w:rsid w:val="009A5ADB"/>
    <w:rsid w:val="009A5B9F"/>
    <w:rsid w:val="009A5C40"/>
    <w:rsid w:val="009A5D6D"/>
    <w:rsid w:val="009A696E"/>
    <w:rsid w:val="009A6B68"/>
    <w:rsid w:val="009A6C89"/>
    <w:rsid w:val="009A732B"/>
    <w:rsid w:val="009A74C3"/>
    <w:rsid w:val="009A7E30"/>
    <w:rsid w:val="009B017F"/>
    <w:rsid w:val="009B01A0"/>
    <w:rsid w:val="009B028A"/>
    <w:rsid w:val="009B041B"/>
    <w:rsid w:val="009B09F2"/>
    <w:rsid w:val="009B1352"/>
    <w:rsid w:val="009B152F"/>
    <w:rsid w:val="009B1795"/>
    <w:rsid w:val="009B19B7"/>
    <w:rsid w:val="009B1A14"/>
    <w:rsid w:val="009B1A83"/>
    <w:rsid w:val="009B1B6B"/>
    <w:rsid w:val="009B1D04"/>
    <w:rsid w:val="009B1D9C"/>
    <w:rsid w:val="009B1F9A"/>
    <w:rsid w:val="009B2198"/>
    <w:rsid w:val="009B24EB"/>
    <w:rsid w:val="009B259C"/>
    <w:rsid w:val="009B2ACA"/>
    <w:rsid w:val="009B2C08"/>
    <w:rsid w:val="009B2E70"/>
    <w:rsid w:val="009B33F3"/>
    <w:rsid w:val="009B358D"/>
    <w:rsid w:val="009B37DC"/>
    <w:rsid w:val="009B37E9"/>
    <w:rsid w:val="009B408D"/>
    <w:rsid w:val="009B4345"/>
    <w:rsid w:val="009B4500"/>
    <w:rsid w:val="009B4AFA"/>
    <w:rsid w:val="009B4C57"/>
    <w:rsid w:val="009B4F29"/>
    <w:rsid w:val="009B5107"/>
    <w:rsid w:val="009B5895"/>
    <w:rsid w:val="009B59E1"/>
    <w:rsid w:val="009B5B17"/>
    <w:rsid w:val="009B5D25"/>
    <w:rsid w:val="009B60F0"/>
    <w:rsid w:val="009B63AD"/>
    <w:rsid w:val="009B6516"/>
    <w:rsid w:val="009B68D1"/>
    <w:rsid w:val="009B6951"/>
    <w:rsid w:val="009B6972"/>
    <w:rsid w:val="009B6A4E"/>
    <w:rsid w:val="009B6AA7"/>
    <w:rsid w:val="009B6B93"/>
    <w:rsid w:val="009B6E1E"/>
    <w:rsid w:val="009B6FAE"/>
    <w:rsid w:val="009B7347"/>
    <w:rsid w:val="009B75EF"/>
    <w:rsid w:val="009B7605"/>
    <w:rsid w:val="009B78DB"/>
    <w:rsid w:val="009B7C1F"/>
    <w:rsid w:val="009B7EC1"/>
    <w:rsid w:val="009B7F1C"/>
    <w:rsid w:val="009C01BB"/>
    <w:rsid w:val="009C034B"/>
    <w:rsid w:val="009C04E5"/>
    <w:rsid w:val="009C08E4"/>
    <w:rsid w:val="009C0B3B"/>
    <w:rsid w:val="009C0D9A"/>
    <w:rsid w:val="009C132E"/>
    <w:rsid w:val="009C1387"/>
    <w:rsid w:val="009C1722"/>
    <w:rsid w:val="009C1F2D"/>
    <w:rsid w:val="009C20C6"/>
    <w:rsid w:val="009C21FA"/>
    <w:rsid w:val="009C226C"/>
    <w:rsid w:val="009C24C2"/>
    <w:rsid w:val="009C26DF"/>
    <w:rsid w:val="009C2E02"/>
    <w:rsid w:val="009C3578"/>
    <w:rsid w:val="009C3995"/>
    <w:rsid w:val="009C399C"/>
    <w:rsid w:val="009C39D1"/>
    <w:rsid w:val="009C3DDE"/>
    <w:rsid w:val="009C3E72"/>
    <w:rsid w:val="009C3FD8"/>
    <w:rsid w:val="009C41D1"/>
    <w:rsid w:val="009C462D"/>
    <w:rsid w:val="009C46F5"/>
    <w:rsid w:val="009C4701"/>
    <w:rsid w:val="009C47E6"/>
    <w:rsid w:val="009C4BD5"/>
    <w:rsid w:val="009C4C4F"/>
    <w:rsid w:val="009C4D51"/>
    <w:rsid w:val="009C4D54"/>
    <w:rsid w:val="009C4DA4"/>
    <w:rsid w:val="009C50A1"/>
    <w:rsid w:val="009C520E"/>
    <w:rsid w:val="009C559B"/>
    <w:rsid w:val="009C59F0"/>
    <w:rsid w:val="009C5C2E"/>
    <w:rsid w:val="009C5F36"/>
    <w:rsid w:val="009C60AA"/>
    <w:rsid w:val="009C6365"/>
    <w:rsid w:val="009C6622"/>
    <w:rsid w:val="009C6905"/>
    <w:rsid w:val="009C69E3"/>
    <w:rsid w:val="009C6C1C"/>
    <w:rsid w:val="009C6F27"/>
    <w:rsid w:val="009C6FF7"/>
    <w:rsid w:val="009C7450"/>
    <w:rsid w:val="009C75D8"/>
    <w:rsid w:val="009C7645"/>
    <w:rsid w:val="009C7715"/>
    <w:rsid w:val="009C774F"/>
    <w:rsid w:val="009C78A6"/>
    <w:rsid w:val="009D024B"/>
    <w:rsid w:val="009D0717"/>
    <w:rsid w:val="009D07CE"/>
    <w:rsid w:val="009D09D9"/>
    <w:rsid w:val="009D0A2F"/>
    <w:rsid w:val="009D0E75"/>
    <w:rsid w:val="009D13D3"/>
    <w:rsid w:val="009D187E"/>
    <w:rsid w:val="009D1B61"/>
    <w:rsid w:val="009D1CAD"/>
    <w:rsid w:val="009D2273"/>
    <w:rsid w:val="009D24C1"/>
    <w:rsid w:val="009D2A44"/>
    <w:rsid w:val="009D2FBF"/>
    <w:rsid w:val="009D313E"/>
    <w:rsid w:val="009D3903"/>
    <w:rsid w:val="009D3A8D"/>
    <w:rsid w:val="009D3C04"/>
    <w:rsid w:val="009D3E95"/>
    <w:rsid w:val="009D4219"/>
    <w:rsid w:val="009D422F"/>
    <w:rsid w:val="009D431B"/>
    <w:rsid w:val="009D4573"/>
    <w:rsid w:val="009D46FD"/>
    <w:rsid w:val="009D4AB7"/>
    <w:rsid w:val="009D4B1C"/>
    <w:rsid w:val="009D4C94"/>
    <w:rsid w:val="009D4FD9"/>
    <w:rsid w:val="009D5057"/>
    <w:rsid w:val="009D5116"/>
    <w:rsid w:val="009D52A2"/>
    <w:rsid w:val="009D56A9"/>
    <w:rsid w:val="009D587D"/>
    <w:rsid w:val="009D59F9"/>
    <w:rsid w:val="009D5A01"/>
    <w:rsid w:val="009D5E94"/>
    <w:rsid w:val="009D6D6A"/>
    <w:rsid w:val="009D6E61"/>
    <w:rsid w:val="009D6F90"/>
    <w:rsid w:val="009D75AC"/>
    <w:rsid w:val="009D7991"/>
    <w:rsid w:val="009D7BE2"/>
    <w:rsid w:val="009D7CB1"/>
    <w:rsid w:val="009D7DBB"/>
    <w:rsid w:val="009E05FA"/>
    <w:rsid w:val="009E06CB"/>
    <w:rsid w:val="009E0AB5"/>
    <w:rsid w:val="009E0DA9"/>
    <w:rsid w:val="009E100B"/>
    <w:rsid w:val="009E14C4"/>
    <w:rsid w:val="009E19E9"/>
    <w:rsid w:val="009E1A6C"/>
    <w:rsid w:val="009E1F77"/>
    <w:rsid w:val="009E206A"/>
    <w:rsid w:val="009E23F7"/>
    <w:rsid w:val="009E26E6"/>
    <w:rsid w:val="009E2979"/>
    <w:rsid w:val="009E2BE1"/>
    <w:rsid w:val="009E3058"/>
    <w:rsid w:val="009E34F3"/>
    <w:rsid w:val="009E350E"/>
    <w:rsid w:val="009E374F"/>
    <w:rsid w:val="009E3825"/>
    <w:rsid w:val="009E3B53"/>
    <w:rsid w:val="009E3B9B"/>
    <w:rsid w:val="009E4058"/>
    <w:rsid w:val="009E427A"/>
    <w:rsid w:val="009E42A8"/>
    <w:rsid w:val="009E458F"/>
    <w:rsid w:val="009E45B3"/>
    <w:rsid w:val="009E4605"/>
    <w:rsid w:val="009E46C7"/>
    <w:rsid w:val="009E470E"/>
    <w:rsid w:val="009E48C6"/>
    <w:rsid w:val="009E4A18"/>
    <w:rsid w:val="009E4C50"/>
    <w:rsid w:val="009E4C7F"/>
    <w:rsid w:val="009E4D79"/>
    <w:rsid w:val="009E4E1F"/>
    <w:rsid w:val="009E52C3"/>
    <w:rsid w:val="009E52C8"/>
    <w:rsid w:val="009E52CB"/>
    <w:rsid w:val="009E54F0"/>
    <w:rsid w:val="009E560E"/>
    <w:rsid w:val="009E5994"/>
    <w:rsid w:val="009E5A8D"/>
    <w:rsid w:val="009E5BC0"/>
    <w:rsid w:val="009E5EBB"/>
    <w:rsid w:val="009E5FD0"/>
    <w:rsid w:val="009E5FE2"/>
    <w:rsid w:val="009E6BE7"/>
    <w:rsid w:val="009E73D8"/>
    <w:rsid w:val="009E7454"/>
    <w:rsid w:val="009E762E"/>
    <w:rsid w:val="009E77AF"/>
    <w:rsid w:val="009E787E"/>
    <w:rsid w:val="009E7A6F"/>
    <w:rsid w:val="009F00FE"/>
    <w:rsid w:val="009F021F"/>
    <w:rsid w:val="009F0275"/>
    <w:rsid w:val="009F05D8"/>
    <w:rsid w:val="009F0C63"/>
    <w:rsid w:val="009F0D97"/>
    <w:rsid w:val="009F0DE8"/>
    <w:rsid w:val="009F126D"/>
    <w:rsid w:val="009F1AB4"/>
    <w:rsid w:val="009F1C63"/>
    <w:rsid w:val="009F1FA1"/>
    <w:rsid w:val="009F2093"/>
    <w:rsid w:val="009F20A2"/>
    <w:rsid w:val="009F2428"/>
    <w:rsid w:val="009F2504"/>
    <w:rsid w:val="009F2549"/>
    <w:rsid w:val="009F25FF"/>
    <w:rsid w:val="009F26AA"/>
    <w:rsid w:val="009F2C45"/>
    <w:rsid w:val="009F2CC4"/>
    <w:rsid w:val="009F2D2A"/>
    <w:rsid w:val="009F2FA6"/>
    <w:rsid w:val="009F3182"/>
    <w:rsid w:val="009F31C8"/>
    <w:rsid w:val="009F338F"/>
    <w:rsid w:val="009F3EA4"/>
    <w:rsid w:val="009F3EC6"/>
    <w:rsid w:val="009F41F0"/>
    <w:rsid w:val="009F42A1"/>
    <w:rsid w:val="009F4361"/>
    <w:rsid w:val="009F44AE"/>
    <w:rsid w:val="009F46AA"/>
    <w:rsid w:val="009F5036"/>
    <w:rsid w:val="009F532C"/>
    <w:rsid w:val="009F562A"/>
    <w:rsid w:val="009F5E55"/>
    <w:rsid w:val="009F5EF0"/>
    <w:rsid w:val="009F61E6"/>
    <w:rsid w:val="009F65DC"/>
    <w:rsid w:val="009F6846"/>
    <w:rsid w:val="009F6E24"/>
    <w:rsid w:val="009F6EBF"/>
    <w:rsid w:val="009F6FCE"/>
    <w:rsid w:val="009F7824"/>
    <w:rsid w:val="009F7E31"/>
    <w:rsid w:val="00A00366"/>
    <w:rsid w:val="00A004B8"/>
    <w:rsid w:val="00A006F2"/>
    <w:rsid w:val="00A00A9D"/>
    <w:rsid w:val="00A00AAE"/>
    <w:rsid w:val="00A00EC4"/>
    <w:rsid w:val="00A00FA6"/>
    <w:rsid w:val="00A014F1"/>
    <w:rsid w:val="00A01AAD"/>
    <w:rsid w:val="00A01CFC"/>
    <w:rsid w:val="00A01DED"/>
    <w:rsid w:val="00A02375"/>
    <w:rsid w:val="00A0242A"/>
    <w:rsid w:val="00A0258C"/>
    <w:rsid w:val="00A027E3"/>
    <w:rsid w:val="00A029FA"/>
    <w:rsid w:val="00A032DF"/>
    <w:rsid w:val="00A03415"/>
    <w:rsid w:val="00A03A5F"/>
    <w:rsid w:val="00A03C4C"/>
    <w:rsid w:val="00A03DCC"/>
    <w:rsid w:val="00A04248"/>
    <w:rsid w:val="00A042D3"/>
    <w:rsid w:val="00A04783"/>
    <w:rsid w:val="00A047F8"/>
    <w:rsid w:val="00A04C80"/>
    <w:rsid w:val="00A04EF9"/>
    <w:rsid w:val="00A052BB"/>
    <w:rsid w:val="00A056DE"/>
    <w:rsid w:val="00A0587B"/>
    <w:rsid w:val="00A0588A"/>
    <w:rsid w:val="00A05B11"/>
    <w:rsid w:val="00A05C05"/>
    <w:rsid w:val="00A05E61"/>
    <w:rsid w:val="00A06074"/>
    <w:rsid w:val="00A061D7"/>
    <w:rsid w:val="00A069CD"/>
    <w:rsid w:val="00A06CE8"/>
    <w:rsid w:val="00A06D73"/>
    <w:rsid w:val="00A06DC2"/>
    <w:rsid w:val="00A06DDB"/>
    <w:rsid w:val="00A06DE2"/>
    <w:rsid w:val="00A06EC4"/>
    <w:rsid w:val="00A06FEA"/>
    <w:rsid w:val="00A0701D"/>
    <w:rsid w:val="00A07214"/>
    <w:rsid w:val="00A07316"/>
    <w:rsid w:val="00A0754F"/>
    <w:rsid w:val="00A0759A"/>
    <w:rsid w:val="00A075AD"/>
    <w:rsid w:val="00A077BD"/>
    <w:rsid w:val="00A077BF"/>
    <w:rsid w:val="00A078B4"/>
    <w:rsid w:val="00A07B37"/>
    <w:rsid w:val="00A07E14"/>
    <w:rsid w:val="00A07FAB"/>
    <w:rsid w:val="00A1063D"/>
    <w:rsid w:val="00A1077F"/>
    <w:rsid w:val="00A10CBC"/>
    <w:rsid w:val="00A111EA"/>
    <w:rsid w:val="00A113ED"/>
    <w:rsid w:val="00A11765"/>
    <w:rsid w:val="00A1182B"/>
    <w:rsid w:val="00A11954"/>
    <w:rsid w:val="00A119BC"/>
    <w:rsid w:val="00A11C67"/>
    <w:rsid w:val="00A11D55"/>
    <w:rsid w:val="00A11D90"/>
    <w:rsid w:val="00A11E28"/>
    <w:rsid w:val="00A11E32"/>
    <w:rsid w:val="00A11E52"/>
    <w:rsid w:val="00A11E89"/>
    <w:rsid w:val="00A11EEC"/>
    <w:rsid w:val="00A122D7"/>
    <w:rsid w:val="00A123C9"/>
    <w:rsid w:val="00A126E8"/>
    <w:rsid w:val="00A12756"/>
    <w:rsid w:val="00A1286A"/>
    <w:rsid w:val="00A12D58"/>
    <w:rsid w:val="00A12E2A"/>
    <w:rsid w:val="00A12F97"/>
    <w:rsid w:val="00A1314F"/>
    <w:rsid w:val="00A136C2"/>
    <w:rsid w:val="00A137B8"/>
    <w:rsid w:val="00A1390F"/>
    <w:rsid w:val="00A13995"/>
    <w:rsid w:val="00A13B41"/>
    <w:rsid w:val="00A13BAC"/>
    <w:rsid w:val="00A14072"/>
    <w:rsid w:val="00A1419C"/>
    <w:rsid w:val="00A141E8"/>
    <w:rsid w:val="00A14297"/>
    <w:rsid w:val="00A143BE"/>
    <w:rsid w:val="00A146D2"/>
    <w:rsid w:val="00A14895"/>
    <w:rsid w:val="00A148B3"/>
    <w:rsid w:val="00A14D21"/>
    <w:rsid w:val="00A14ED5"/>
    <w:rsid w:val="00A14FC7"/>
    <w:rsid w:val="00A15123"/>
    <w:rsid w:val="00A153D5"/>
    <w:rsid w:val="00A154CC"/>
    <w:rsid w:val="00A1578B"/>
    <w:rsid w:val="00A158FA"/>
    <w:rsid w:val="00A159E2"/>
    <w:rsid w:val="00A15A14"/>
    <w:rsid w:val="00A15A31"/>
    <w:rsid w:val="00A15DEF"/>
    <w:rsid w:val="00A15ED8"/>
    <w:rsid w:val="00A1670B"/>
    <w:rsid w:val="00A167E2"/>
    <w:rsid w:val="00A168AE"/>
    <w:rsid w:val="00A16A51"/>
    <w:rsid w:val="00A16B5F"/>
    <w:rsid w:val="00A16E07"/>
    <w:rsid w:val="00A16F2D"/>
    <w:rsid w:val="00A16FE2"/>
    <w:rsid w:val="00A1740A"/>
    <w:rsid w:val="00A17539"/>
    <w:rsid w:val="00A17938"/>
    <w:rsid w:val="00A17945"/>
    <w:rsid w:val="00A17F31"/>
    <w:rsid w:val="00A17F55"/>
    <w:rsid w:val="00A20046"/>
    <w:rsid w:val="00A20053"/>
    <w:rsid w:val="00A20061"/>
    <w:rsid w:val="00A20111"/>
    <w:rsid w:val="00A202B7"/>
    <w:rsid w:val="00A205D4"/>
    <w:rsid w:val="00A20631"/>
    <w:rsid w:val="00A206F5"/>
    <w:rsid w:val="00A208A7"/>
    <w:rsid w:val="00A211A6"/>
    <w:rsid w:val="00A2120D"/>
    <w:rsid w:val="00A213C5"/>
    <w:rsid w:val="00A218B8"/>
    <w:rsid w:val="00A219BE"/>
    <w:rsid w:val="00A21C28"/>
    <w:rsid w:val="00A2200B"/>
    <w:rsid w:val="00A2200F"/>
    <w:rsid w:val="00A22140"/>
    <w:rsid w:val="00A22682"/>
    <w:rsid w:val="00A23390"/>
    <w:rsid w:val="00A233C4"/>
    <w:rsid w:val="00A234C2"/>
    <w:rsid w:val="00A23EA5"/>
    <w:rsid w:val="00A24040"/>
    <w:rsid w:val="00A2422A"/>
    <w:rsid w:val="00A24346"/>
    <w:rsid w:val="00A247CA"/>
    <w:rsid w:val="00A24ABC"/>
    <w:rsid w:val="00A24DA3"/>
    <w:rsid w:val="00A24EA4"/>
    <w:rsid w:val="00A24F98"/>
    <w:rsid w:val="00A2521D"/>
    <w:rsid w:val="00A2537B"/>
    <w:rsid w:val="00A259FE"/>
    <w:rsid w:val="00A25BAF"/>
    <w:rsid w:val="00A25D1C"/>
    <w:rsid w:val="00A25EEB"/>
    <w:rsid w:val="00A2653E"/>
    <w:rsid w:val="00A268EC"/>
    <w:rsid w:val="00A26A3E"/>
    <w:rsid w:val="00A26B99"/>
    <w:rsid w:val="00A26DE2"/>
    <w:rsid w:val="00A26F0D"/>
    <w:rsid w:val="00A26FF9"/>
    <w:rsid w:val="00A2726C"/>
    <w:rsid w:val="00A272BA"/>
    <w:rsid w:val="00A273CF"/>
    <w:rsid w:val="00A2748A"/>
    <w:rsid w:val="00A2779C"/>
    <w:rsid w:val="00A27AEA"/>
    <w:rsid w:val="00A27B2D"/>
    <w:rsid w:val="00A27B5A"/>
    <w:rsid w:val="00A27D70"/>
    <w:rsid w:val="00A27E9D"/>
    <w:rsid w:val="00A30034"/>
    <w:rsid w:val="00A300F9"/>
    <w:rsid w:val="00A304B6"/>
    <w:rsid w:val="00A306C9"/>
    <w:rsid w:val="00A3089E"/>
    <w:rsid w:val="00A309EA"/>
    <w:rsid w:val="00A30B6F"/>
    <w:rsid w:val="00A30DE1"/>
    <w:rsid w:val="00A31254"/>
    <w:rsid w:val="00A312EE"/>
    <w:rsid w:val="00A31393"/>
    <w:rsid w:val="00A31ACF"/>
    <w:rsid w:val="00A31AF6"/>
    <w:rsid w:val="00A31B7A"/>
    <w:rsid w:val="00A31BE5"/>
    <w:rsid w:val="00A31BEA"/>
    <w:rsid w:val="00A32014"/>
    <w:rsid w:val="00A323A6"/>
    <w:rsid w:val="00A32769"/>
    <w:rsid w:val="00A327E3"/>
    <w:rsid w:val="00A32A99"/>
    <w:rsid w:val="00A32C65"/>
    <w:rsid w:val="00A33357"/>
    <w:rsid w:val="00A335B3"/>
    <w:rsid w:val="00A3373F"/>
    <w:rsid w:val="00A33AEF"/>
    <w:rsid w:val="00A341BE"/>
    <w:rsid w:val="00A344F7"/>
    <w:rsid w:val="00A344FE"/>
    <w:rsid w:val="00A34730"/>
    <w:rsid w:val="00A3477F"/>
    <w:rsid w:val="00A34D3D"/>
    <w:rsid w:val="00A34DD6"/>
    <w:rsid w:val="00A34F59"/>
    <w:rsid w:val="00A35650"/>
    <w:rsid w:val="00A357FB"/>
    <w:rsid w:val="00A35857"/>
    <w:rsid w:val="00A36241"/>
    <w:rsid w:val="00A36487"/>
    <w:rsid w:val="00A364DE"/>
    <w:rsid w:val="00A36C0C"/>
    <w:rsid w:val="00A36D1B"/>
    <w:rsid w:val="00A36F17"/>
    <w:rsid w:val="00A370C3"/>
    <w:rsid w:val="00A37505"/>
    <w:rsid w:val="00A37538"/>
    <w:rsid w:val="00A376BA"/>
    <w:rsid w:val="00A377FB"/>
    <w:rsid w:val="00A37833"/>
    <w:rsid w:val="00A37A8B"/>
    <w:rsid w:val="00A37B16"/>
    <w:rsid w:val="00A37DA9"/>
    <w:rsid w:val="00A403A2"/>
    <w:rsid w:val="00A40A11"/>
    <w:rsid w:val="00A412D8"/>
    <w:rsid w:val="00A4147D"/>
    <w:rsid w:val="00A4181C"/>
    <w:rsid w:val="00A41BE6"/>
    <w:rsid w:val="00A41D41"/>
    <w:rsid w:val="00A41EE6"/>
    <w:rsid w:val="00A424D7"/>
    <w:rsid w:val="00A42623"/>
    <w:rsid w:val="00A42796"/>
    <w:rsid w:val="00A42D2B"/>
    <w:rsid w:val="00A42E0F"/>
    <w:rsid w:val="00A42F16"/>
    <w:rsid w:val="00A435AC"/>
    <w:rsid w:val="00A43754"/>
    <w:rsid w:val="00A43B23"/>
    <w:rsid w:val="00A43F43"/>
    <w:rsid w:val="00A440BD"/>
    <w:rsid w:val="00A44672"/>
    <w:rsid w:val="00A4485F"/>
    <w:rsid w:val="00A44BFE"/>
    <w:rsid w:val="00A44C7B"/>
    <w:rsid w:val="00A452AB"/>
    <w:rsid w:val="00A453DF"/>
    <w:rsid w:val="00A4562F"/>
    <w:rsid w:val="00A45701"/>
    <w:rsid w:val="00A45980"/>
    <w:rsid w:val="00A45A2D"/>
    <w:rsid w:val="00A45C40"/>
    <w:rsid w:val="00A460C4"/>
    <w:rsid w:val="00A46354"/>
    <w:rsid w:val="00A46367"/>
    <w:rsid w:val="00A46473"/>
    <w:rsid w:val="00A46A4D"/>
    <w:rsid w:val="00A4700C"/>
    <w:rsid w:val="00A471CE"/>
    <w:rsid w:val="00A47602"/>
    <w:rsid w:val="00A47A59"/>
    <w:rsid w:val="00A47BE5"/>
    <w:rsid w:val="00A50152"/>
    <w:rsid w:val="00A50306"/>
    <w:rsid w:val="00A503CA"/>
    <w:rsid w:val="00A5068A"/>
    <w:rsid w:val="00A50B43"/>
    <w:rsid w:val="00A50DAC"/>
    <w:rsid w:val="00A5127E"/>
    <w:rsid w:val="00A514A8"/>
    <w:rsid w:val="00A5178D"/>
    <w:rsid w:val="00A51977"/>
    <w:rsid w:val="00A51A2D"/>
    <w:rsid w:val="00A51B6D"/>
    <w:rsid w:val="00A51BCB"/>
    <w:rsid w:val="00A51DED"/>
    <w:rsid w:val="00A51E2D"/>
    <w:rsid w:val="00A52AFA"/>
    <w:rsid w:val="00A52B53"/>
    <w:rsid w:val="00A52B84"/>
    <w:rsid w:val="00A52CA4"/>
    <w:rsid w:val="00A52D8D"/>
    <w:rsid w:val="00A53327"/>
    <w:rsid w:val="00A53A07"/>
    <w:rsid w:val="00A53B54"/>
    <w:rsid w:val="00A53D2E"/>
    <w:rsid w:val="00A53DE4"/>
    <w:rsid w:val="00A5411B"/>
    <w:rsid w:val="00A5469E"/>
    <w:rsid w:val="00A5488D"/>
    <w:rsid w:val="00A54A46"/>
    <w:rsid w:val="00A5527F"/>
    <w:rsid w:val="00A552FE"/>
    <w:rsid w:val="00A553CB"/>
    <w:rsid w:val="00A553F1"/>
    <w:rsid w:val="00A55445"/>
    <w:rsid w:val="00A5558B"/>
    <w:rsid w:val="00A55759"/>
    <w:rsid w:val="00A55DA1"/>
    <w:rsid w:val="00A55FA0"/>
    <w:rsid w:val="00A56164"/>
    <w:rsid w:val="00A5641B"/>
    <w:rsid w:val="00A56512"/>
    <w:rsid w:val="00A56960"/>
    <w:rsid w:val="00A56A92"/>
    <w:rsid w:val="00A56CAB"/>
    <w:rsid w:val="00A56DF1"/>
    <w:rsid w:val="00A56F0D"/>
    <w:rsid w:val="00A57301"/>
    <w:rsid w:val="00A6004E"/>
    <w:rsid w:val="00A6023C"/>
    <w:rsid w:val="00A60391"/>
    <w:rsid w:val="00A603EC"/>
    <w:rsid w:val="00A60452"/>
    <w:rsid w:val="00A604F4"/>
    <w:rsid w:val="00A606B3"/>
    <w:rsid w:val="00A60815"/>
    <w:rsid w:val="00A609D2"/>
    <w:rsid w:val="00A60E4C"/>
    <w:rsid w:val="00A60E91"/>
    <w:rsid w:val="00A6151A"/>
    <w:rsid w:val="00A61561"/>
    <w:rsid w:val="00A6172C"/>
    <w:rsid w:val="00A61EE1"/>
    <w:rsid w:val="00A61F98"/>
    <w:rsid w:val="00A62060"/>
    <w:rsid w:val="00A624C8"/>
    <w:rsid w:val="00A62A21"/>
    <w:rsid w:val="00A62F11"/>
    <w:rsid w:val="00A631D6"/>
    <w:rsid w:val="00A6341E"/>
    <w:rsid w:val="00A63DA8"/>
    <w:rsid w:val="00A63DF3"/>
    <w:rsid w:val="00A63E02"/>
    <w:rsid w:val="00A641AC"/>
    <w:rsid w:val="00A648B8"/>
    <w:rsid w:val="00A64F43"/>
    <w:rsid w:val="00A64FB1"/>
    <w:rsid w:val="00A64FE9"/>
    <w:rsid w:val="00A6516C"/>
    <w:rsid w:val="00A65209"/>
    <w:rsid w:val="00A652E2"/>
    <w:rsid w:val="00A654F3"/>
    <w:rsid w:val="00A655DD"/>
    <w:rsid w:val="00A6595C"/>
    <w:rsid w:val="00A65A57"/>
    <w:rsid w:val="00A65D81"/>
    <w:rsid w:val="00A65DAE"/>
    <w:rsid w:val="00A65FAC"/>
    <w:rsid w:val="00A660F2"/>
    <w:rsid w:val="00A66865"/>
    <w:rsid w:val="00A66CA5"/>
    <w:rsid w:val="00A66DFC"/>
    <w:rsid w:val="00A66E49"/>
    <w:rsid w:val="00A67014"/>
    <w:rsid w:val="00A6764C"/>
    <w:rsid w:val="00A67974"/>
    <w:rsid w:val="00A67D1E"/>
    <w:rsid w:val="00A67D74"/>
    <w:rsid w:val="00A67EB5"/>
    <w:rsid w:val="00A702F3"/>
    <w:rsid w:val="00A70566"/>
    <w:rsid w:val="00A7079B"/>
    <w:rsid w:val="00A7096E"/>
    <w:rsid w:val="00A709CD"/>
    <w:rsid w:val="00A7115B"/>
    <w:rsid w:val="00A713B0"/>
    <w:rsid w:val="00A71609"/>
    <w:rsid w:val="00A718B8"/>
    <w:rsid w:val="00A71990"/>
    <w:rsid w:val="00A719F8"/>
    <w:rsid w:val="00A71A62"/>
    <w:rsid w:val="00A71B21"/>
    <w:rsid w:val="00A71CB9"/>
    <w:rsid w:val="00A71EC5"/>
    <w:rsid w:val="00A71FFE"/>
    <w:rsid w:val="00A7210B"/>
    <w:rsid w:val="00A72328"/>
    <w:rsid w:val="00A723A4"/>
    <w:rsid w:val="00A7323B"/>
    <w:rsid w:val="00A7338F"/>
    <w:rsid w:val="00A7347E"/>
    <w:rsid w:val="00A7380A"/>
    <w:rsid w:val="00A7416D"/>
    <w:rsid w:val="00A7429D"/>
    <w:rsid w:val="00A742D8"/>
    <w:rsid w:val="00A746CC"/>
    <w:rsid w:val="00A74840"/>
    <w:rsid w:val="00A754E2"/>
    <w:rsid w:val="00A75541"/>
    <w:rsid w:val="00A75A05"/>
    <w:rsid w:val="00A75BBF"/>
    <w:rsid w:val="00A76091"/>
    <w:rsid w:val="00A76115"/>
    <w:rsid w:val="00A76209"/>
    <w:rsid w:val="00A76410"/>
    <w:rsid w:val="00A76475"/>
    <w:rsid w:val="00A7671C"/>
    <w:rsid w:val="00A7674E"/>
    <w:rsid w:val="00A76940"/>
    <w:rsid w:val="00A769E0"/>
    <w:rsid w:val="00A769FC"/>
    <w:rsid w:val="00A76B10"/>
    <w:rsid w:val="00A76D22"/>
    <w:rsid w:val="00A7704C"/>
    <w:rsid w:val="00A770F2"/>
    <w:rsid w:val="00A773E3"/>
    <w:rsid w:val="00A7756B"/>
    <w:rsid w:val="00A77714"/>
    <w:rsid w:val="00A7779A"/>
    <w:rsid w:val="00A7780F"/>
    <w:rsid w:val="00A7790A"/>
    <w:rsid w:val="00A77941"/>
    <w:rsid w:val="00A779B2"/>
    <w:rsid w:val="00A77BBA"/>
    <w:rsid w:val="00A77C0D"/>
    <w:rsid w:val="00A77D62"/>
    <w:rsid w:val="00A77E35"/>
    <w:rsid w:val="00A77F53"/>
    <w:rsid w:val="00A800E3"/>
    <w:rsid w:val="00A802B2"/>
    <w:rsid w:val="00A804C0"/>
    <w:rsid w:val="00A8052E"/>
    <w:rsid w:val="00A80745"/>
    <w:rsid w:val="00A80D94"/>
    <w:rsid w:val="00A81087"/>
    <w:rsid w:val="00A810F6"/>
    <w:rsid w:val="00A810F7"/>
    <w:rsid w:val="00A811E8"/>
    <w:rsid w:val="00A813B0"/>
    <w:rsid w:val="00A817C3"/>
    <w:rsid w:val="00A81CCD"/>
    <w:rsid w:val="00A82394"/>
    <w:rsid w:val="00A823AE"/>
    <w:rsid w:val="00A825F6"/>
    <w:rsid w:val="00A8271E"/>
    <w:rsid w:val="00A8281C"/>
    <w:rsid w:val="00A82A23"/>
    <w:rsid w:val="00A82BFE"/>
    <w:rsid w:val="00A8373D"/>
    <w:rsid w:val="00A8398C"/>
    <w:rsid w:val="00A83BB7"/>
    <w:rsid w:val="00A83D1B"/>
    <w:rsid w:val="00A84475"/>
    <w:rsid w:val="00A845C5"/>
    <w:rsid w:val="00A8489B"/>
    <w:rsid w:val="00A84920"/>
    <w:rsid w:val="00A8492C"/>
    <w:rsid w:val="00A84A8E"/>
    <w:rsid w:val="00A84AF9"/>
    <w:rsid w:val="00A84CDD"/>
    <w:rsid w:val="00A84E85"/>
    <w:rsid w:val="00A84EFF"/>
    <w:rsid w:val="00A85002"/>
    <w:rsid w:val="00A8559B"/>
    <w:rsid w:val="00A856A5"/>
    <w:rsid w:val="00A85B4F"/>
    <w:rsid w:val="00A85DE4"/>
    <w:rsid w:val="00A860EB"/>
    <w:rsid w:val="00A861FC"/>
    <w:rsid w:val="00A86418"/>
    <w:rsid w:val="00A86AAF"/>
    <w:rsid w:val="00A86AFC"/>
    <w:rsid w:val="00A86D4A"/>
    <w:rsid w:val="00A86E5E"/>
    <w:rsid w:val="00A86F7E"/>
    <w:rsid w:val="00A87085"/>
    <w:rsid w:val="00A874BC"/>
    <w:rsid w:val="00A87A7F"/>
    <w:rsid w:val="00A87C65"/>
    <w:rsid w:val="00A87C84"/>
    <w:rsid w:val="00A87CD4"/>
    <w:rsid w:val="00A87D25"/>
    <w:rsid w:val="00A9020C"/>
    <w:rsid w:val="00A909B2"/>
    <w:rsid w:val="00A909B8"/>
    <w:rsid w:val="00A90B14"/>
    <w:rsid w:val="00A90C17"/>
    <w:rsid w:val="00A90D60"/>
    <w:rsid w:val="00A90E45"/>
    <w:rsid w:val="00A91031"/>
    <w:rsid w:val="00A914EF"/>
    <w:rsid w:val="00A9160A"/>
    <w:rsid w:val="00A919D8"/>
    <w:rsid w:val="00A91BD9"/>
    <w:rsid w:val="00A91FA3"/>
    <w:rsid w:val="00A9212D"/>
    <w:rsid w:val="00A92208"/>
    <w:rsid w:val="00A922EB"/>
    <w:rsid w:val="00A92421"/>
    <w:rsid w:val="00A924DD"/>
    <w:rsid w:val="00A9289B"/>
    <w:rsid w:val="00A92923"/>
    <w:rsid w:val="00A92CA4"/>
    <w:rsid w:val="00A92F47"/>
    <w:rsid w:val="00A9300D"/>
    <w:rsid w:val="00A93208"/>
    <w:rsid w:val="00A93235"/>
    <w:rsid w:val="00A9327D"/>
    <w:rsid w:val="00A933EC"/>
    <w:rsid w:val="00A9362F"/>
    <w:rsid w:val="00A93E0A"/>
    <w:rsid w:val="00A93FEF"/>
    <w:rsid w:val="00A9407B"/>
    <w:rsid w:val="00A94150"/>
    <w:rsid w:val="00A942F8"/>
    <w:rsid w:val="00A94381"/>
    <w:rsid w:val="00A9449F"/>
    <w:rsid w:val="00A9481A"/>
    <w:rsid w:val="00A95426"/>
    <w:rsid w:val="00A9552A"/>
    <w:rsid w:val="00A95AA0"/>
    <w:rsid w:val="00A95C93"/>
    <w:rsid w:val="00A95CB1"/>
    <w:rsid w:val="00A95D6E"/>
    <w:rsid w:val="00A95E9C"/>
    <w:rsid w:val="00A95E9E"/>
    <w:rsid w:val="00A960E5"/>
    <w:rsid w:val="00A961C1"/>
    <w:rsid w:val="00A963B7"/>
    <w:rsid w:val="00A96B4E"/>
    <w:rsid w:val="00A96B8C"/>
    <w:rsid w:val="00A97296"/>
    <w:rsid w:val="00A975CB"/>
    <w:rsid w:val="00A9787A"/>
    <w:rsid w:val="00A97882"/>
    <w:rsid w:val="00A97ABC"/>
    <w:rsid w:val="00A97C8F"/>
    <w:rsid w:val="00A97D89"/>
    <w:rsid w:val="00A97ECC"/>
    <w:rsid w:val="00A97F2D"/>
    <w:rsid w:val="00AA012D"/>
    <w:rsid w:val="00AA02BD"/>
    <w:rsid w:val="00AA02FF"/>
    <w:rsid w:val="00AA069D"/>
    <w:rsid w:val="00AA08E6"/>
    <w:rsid w:val="00AA0B1B"/>
    <w:rsid w:val="00AA0B75"/>
    <w:rsid w:val="00AA13D0"/>
    <w:rsid w:val="00AA14C5"/>
    <w:rsid w:val="00AA1571"/>
    <w:rsid w:val="00AA168C"/>
    <w:rsid w:val="00AA23AE"/>
    <w:rsid w:val="00AA2431"/>
    <w:rsid w:val="00AA2498"/>
    <w:rsid w:val="00AA29D7"/>
    <w:rsid w:val="00AA2C35"/>
    <w:rsid w:val="00AA30E9"/>
    <w:rsid w:val="00AA32D2"/>
    <w:rsid w:val="00AA34BD"/>
    <w:rsid w:val="00AA355B"/>
    <w:rsid w:val="00AA36DE"/>
    <w:rsid w:val="00AA3871"/>
    <w:rsid w:val="00AA38AA"/>
    <w:rsid w:val="00AA38BB"/>
    <w:rsid w:val="00AA3A92"/>
    <w:rsid w:val="00AA3FED"/>
    <w:rsid w:val="00AA405C"/>
    <w:rsid w:val="00AA43A8"/>
    <w:rsid w:val="00AA49CA"/>
    <w:rsid w:val="00AA49E3"/>
    <w:rsid w:val="00AA4B59"/>
    <w:rsid w:val="00AA4B69"/>
    <w:rsid w:val="00AA50C2"/>
    <w:rsid w:val="00AA5A8D"/>
    <w:rsid w:val="00AA5AA3"/>
    <w:rsid w:val="00AA5ADA"/>
    <w:rsid w:val="00AA5C76"/>
    <w:rsid w:val="00AA6050"/>
    <w:rsid w:val="00AA61DA"/>
    <w:rsid w:val="00AA7599"/>
    <w:rsid w:val="00AA78EC"/>
    <w:rsid w:val="00AA7A53"/>
    <w:rsid w:val="00AA7B3A"/>
    <w:rsid w:val="00AA7BA6"/>
    <w:rsid w:val="00AA7E8E"/>
    <w:rsid w:val="00AB018D"/>
    <w:rsid w:val="00AB024D"/>
    <w:rsid w:val="00AB032F"/>
    <w:rsid w:val="00AB126A"/>
    <w:rsid w:val="00AB1954"/>
    <w:rsid w:val="00AB1A44"/>
    <w:rsid w:val="00AB1D80"/>
    <w:rsid w:val="00AB2883"/>
    <w:rsid w:val="00AB2967"/>
    <w:rsid w:val="00AB2A0D"/>
    <w:rsid w:val="00AB2B2E"/>
    <w:rsid w:val="00AB30D7"/>
    <w:rsid w:val="00AB3800"/>
    <w:rsid w:val="00AB3B98"/>
    <w:rsid w:val="00AB3BBD"/>
    <w:rsid w:val="00AB3FFA"/>
    <w:rsid w:val="00AB4215"/>
    <w:rsid w:val="00AB472D"/>
    <w:rsid w:val="00AB4808"/>
    <w:rsid w:val="00AB4E6A"/>
    <w:rsid w:val="00AB4E8F"/>
    <w:rsid w:val="00AB4F6B"/>
    <w:rsid w:val="00AB517B"/>
    <w:rsid w:val="00AB585A"/>
    <w:rsid w:val="00AB5917"/>
    <w:rsid w:val="00AB5A54"/>
    <w:rsid w:val="00AB5ABF"/>
    <w:rsid w:val="00AB5B62"/>
    <w:rsid w:val="00AB5E41"/>
    <w:rsid w:val="00AB5E9F"/>
    <w:rsid w:val="00AB5F11"/>
    <w:rsid w:val="00AB5F6C"/>
    <w:rsid w:val="00AB6147"/>
    <w:rsid w:val="00AB61A7"/>
    <w:rsid w:val="00AB61E2"/>
    <w:rsid w:val="00AB6239"/>
    <w:rsid w:val="00AB639A"/>
    <w:rsid w:val="00AB6AA6"/>
    <w:rsid w:val="00AB743B"/>
    <w:rsid w:val="00AB7694"/>
    <w:rsid w:val="00AB7869"/>
    <w:rsid w:val="00AC03E7"/>
    <w:rsid w:val="00AC05A0"/>
    <w:rsid w:val="00AC0A67"/>
    <w:rsid w:val="00AC0C67"/>
    <w:rsid w:val="00AC0F47"/>
    <w:rsid w:val="00AC1040"/>
    <w:rsid w:val="00AC124B"/>
    <w:rsid w:val="00AC127B"/>
    <w:rsid w:val="00AC1764"/>
    <w:rsid w:val="00AC1B00"/>
    <w:rsid w:val="00AC1EF9"/>
    <w:rsid w:val="00AC24CB"/>
    <w:rsid w:val="00AC289B"/>
    <w:rsid w:val="00AC28D0"/>
    <w:rsid w:val="00AC2D6C"/>
    <w:rsid w:val="00AC33FD"/>
    <w:rsid w:val="00AC3453"/>
    <w:rsid w:val="00AC3B2F"/>
    <w:rsid w:val="00AC3B63"/>
    <w:rsid w:val="00AC3D49"/>
    <w:rsid w:val="00AC3E85"/>
    <w:rsid w:val="00AC3EBA"/>
    <w:rsid w:val="00AC41AA"/>
    <w:rsid w:val="00AC43BC"/>
    <w:rsid w:val="00AC4623"/>
    <w:rsid w:val="00AC468C"/>
    <w:rsid w:val="00AC4A85"/>
    <w:rsid w:val="00AC4AF5"/>
    <w:rsid w:val="00AC4C64"/>
    <w:rsid w:val="00AC553A"/>
    <w:rsid w:val="00AC57D9"/>
    <w:rsid w:val="00AC57DC"/>
    <w:rsid w:val="00AC586A"/>
    <w:rsid w:val="00AC5A7B"/>
    <w:rsid w:val="00AC5A9A"/>
    <w:rsid w:val="00AC5B96"/>
    <w:rsid w:val="00AC60B6"/>
    <w:rsid w:val="00AC638F"/>
    <w:rsid w:val="00AC691C"/>
    <w:rsid w:val="00AC6BFA"/>
    <w:rsid w:val="00AC6D57"/>
    <w:rsid w:val="00AC7108"/>
    <w:rsid w:val="00AC76FD"/>
    <w:rsid w:val="00AC776B"/>
    <w:rsid w:val="00AC77D3"/>
    <w:rsid w:val="00AC7DBB"/>
    <w:rsid w:val="00AC7FF6"/>
    <w:rsid w:val="00AD00C9"/>
    <w:rsid w:val="00AD024B"/>
    <w:rsid w:val="00AD02BD"/>
    <w:rsid w:val="00AD037E"/>
    <w:rsid w:val="00AD0A7F"/>
    <w:rsid w:val="00AD0E3D"/>
    <w:rsid w:val="00AD1118"/>
    <w:rsid w:val="00AD1279"/>
    <w:rsid w:val="00AD1478"/>
    <w:rsid w:val="00AD1A16"/>
    <w:rsid w:val="00AD1A46"/>
    <w:rsid w:val="00AD1FA3"/>
    <w:rsid w:val="00AD2221"/>
    <w:rsid w:val="00AD2567"/>
    <w:rsid w:val="00AD275F"/>
    <w:rsid w:val="00AD28D4"/>
    <w:rsid w:val="00AD2903"/>
    <w:rsid w:val="00AD297E"/>
    <w:rsid w:val="00AD2D9B"/>
    <w:rsid w:val="00AD2EEA"/>
    <w:rsid w:val="00AD3605"/>
    <w:rsid w:val="00AD374E"/>
    <w:rsid w:val="00AD375A"/>
    <w:rsid w:val="00AD376A"/>
    <w:rsid w:val="00AD38EA"/>
    <w:rsid w:val="00AD3940"/>
    <w:rsid w:val="00AD3A66"/>
    <w:rsid w:val="00AD4096"/>
    <w:rsid w:val="00AD41CB"/>
    <w:rsid w:val="00AD42C1"/>
    <w:rsid w:val="00AD4691"/>
    <w:rsid w:val="00AD4A35"/>
    <w:rsid w:val="00AD4AF0"/>
    <w:rsid w:val="00AD4CE5"/>
    <w:rsid w:val="00AD4D95"/>
    <w:rsid w:val="00AD50D4"/>
    <w:rsid w:val="00AD514F"/>
    <w:rsid w:val="00AD5AFC"/>
    <w:rsid w:val="00AD6482"/>
    <w:rsid w:val="00AD6669"/>
    <w:rsid w:val="00AD690A"/>
    <w:rsid w:val="00AD6EF8"/>
    <w:rsid w:val="00AD7083"/>
    <w:rsid w:val="00AD70C5"/>
    <w:rsid w:val="00AD70EE"/>
    <w:rsid w:val="00AD74C7"/>
    <w:rsid w:val="00AD750F"/>
    <w:rsid w:val="00AD76F8"/>
    <w:rsid w:val="00AD77C9"/>
    <w:rsid w:val="00AD7ADF"/>
    <w:rsid w:val="00AD7C7E"/>
    <w:rsid w:val="00AE0180"/>
    <w:rsid w:val="00AE02B7"/>
    <w:rsid w:val="00AE07DB"/>
    <w:rsid w:val="00AE090C"/>
    <w:rsid w:val="00AE0CCF"/>
    <w:rsid w:val="00AE0D4A"/>
    <w:rsid w:val="00AE0E03"/>
    <w:rsid w:val="00AE1052"/>
    <w:rsid w:val="00AE1252"/>
    <w:rsid w:val="00AE1341"/>
    <w:rsid w:val="00AE14FD"/>
    <w:rsid w:val="00AE1578"/>
    <w:rsid w:val="00AE1960"/>
    <w:rsid w:val="00AE19BA"/>
    <w:rsid w:val="00AE1A86"/>
    <w:rsid w:val="00AE1EED"/>
    <w:rsid w:val="00AE2736"/>
    <w:rsid w:val="00AE28A1"/>
    <w:rsid w:val="00AE2916"/>
    <w:rsid w:val="00AE295E"/>
    <w:rsid w:val="00AE2AFE"/>
    <w:rsid w:val="00AE2C02"/>
    <w:rsid w:val="00AE2F57"/>
    <w:rsid w:val="00AE2FF9"/>
    <w:rsid w:val="00AE3232"/>
    <w:rsid w:val="00AE3582"/>
    <w:rsid w:val="00AE377E"/>
    <w:rsid w:val="00AE3C5F"/>
    <w:rsid w:val="00AE3D67"/>
    <w:rsid w:val="00AE3E24"/>
    <w:rsid w:val="00AE3FA7"/>
    <w:rsid w:val="00AE5236"/>
    <w:rsid w:val="00AE53E1"/>
    <w:rsid w:val="00AE5516"/>
    <w:rsid w:val="00AE5646"/>
    <w:rsid w:val="00AE564D"/>
    <w:rsid w:val="00AE59F4"/>
    <w:rsid w:val="00AE5B12"/>
    <w:rsid w:val="00AE5CEE"/>
    <w:rsid w:val="00AE5DF3"/>
    <w:rsid w:val="00AE600E"/>
    <w:rsid w:val="00AE6124"/>
    <w:rsid w:val="00AE6138"/>
    <w:rsid w:val="00AE66E9"/>
    <w:rsid w:val="00AE6BBE"/>
    <w:rsid w:val="00AE6FBC"/>
    <w:rsid w:val="00AE740D"/>
    <w:rsid w:val="00AE7750"/>
    <w:rsid w:val="00AE7765"/>
    <w:rsid w:val="00AE785F"/>
    <w:rsid w:val="00AE7951"/>
    <w:rsid w:val="00AE7E68"/>
    <w:rsid w:val="00AE7E88"/>
    <w:rsid w:val="00AF005E"/>
    <w:rsid w:val="00AF00AF"/>
    <w:rsid w:val="00AF02F6"/>
    <w:rsid w:val="00AF033B"/>
    <w:rsid w:val="00AF051C"/>
    <w:rsid w:val="00AF069E"/>
    <w:rsid w:val="00AF0B01"/>
    <w:rsid w:val="00AF0B0E"/>
    <w:rsid w:val="00AF0C74"/>
    <w:rsid w:val="00AF115C"/>
    <w:rsid w:val="00AF1199"/>
    <w:rsid w:val="00AF1A32"/>
    <w:rsid w:val="00AF1A96"/>
    <w:rsid w:val="00AF1D5E"/>
    <w:rsid w:val="00AF1E0E"/>
    <w:rsid w:val="00AF1F1D"/>
    <w:rsid w:val="00AF232F"/>
    <w:rsid w:val="00AF2560"/>
    <w:rsid w:val="00AF28F7"/>
    <w:rsid w:val="00AF2BBD"/>
    <w:rsid w:val="00AF31D0"/>
    <w:rsid w:val="00AF32E3"/>
    <w:rsid w:val="00AF36DD"/>
    <w:rsid w:val="00AF380E"/>
    <w:rsid w:val="00AF3E0C"/>
    <w:rsid w:val="00AF3E57"/>
    <w:rsid w:val="00AF3F47"/>
    <w:rsid w:val="00AF41AC"/>
    <w:rsid w:val="00AF4526"/>
    <w:rsid w:val="00AF4557"/>
    <w:rsid w:val="00AF470D"/>
    <w:rsid w:val="00AF4809"/>
    <w:rsid w:val="00AF49C3"/>
    <w:rsid w:val="00AF4F74"/>
    <w:rsid w:val="00AF5304"/>
    <w:rsid w:val="00AF56C1"/>
    <w:rsid w:val="00AF5876"/>
    <w:rsid w:val="00AF68D2"/>
    <w:rsid w:val="00AF6BEE"/>
    <w:rsid w:val="00AF72D5"/>
    <w:rsid w:val="00AF73B6"/>
    <w:rsid w:val="00AF787B"/>
    <w:rsid w:val="00AF7949"/>
    <w:rsid w:val="00AF7B73"/>
    <w:rsid w:val="00B001C7"/>
    <w:rsid w:val="00B0046E"/>
    <w:rsid w:val="00B006B8"/>
    <w:rsid w:val="00B00735"/>
    <w:rsid w:val="00B0073E"/>
    <w:rsid w:val="00B0079D"/>
    <w:rsid w:val="00B00881"/>
    <w:rsid w:val="00B00D48"/>
    <w:rsid w:val="00B00D84"/>
    <w:rsid w:val="00B00FF9"/>
    <w:rsid w:val="00B014E3"/>
    <w:rsid w:val="00B0157F"/>
    <w:rsid w:val="00B01868"/>
    <w:rsid w:val="00B018EC"/>
    <w:rsid w:val="00B01903"/>
    <w:rsid w:val="00B01963"/>
    <w:rsid w:val="00B01A3F"/>
    <w:rsid w:val="00B0223B"/>
    <w:rsid w:val="00B022B8"/>
    <w:rsid w:val="00B02564"/>
    <w:rsid w:val="00B025AC"/>
    <w:rsid w:val="00B02A89"/>
    <w:rsid w:val="00B03471"/>
    <w:rsid w:val="00B03565"/>
    <w:rsid w:val="00B03699"/>
    <w:rsid w:val="00B036EC"/>
    <w:rsid w:val="00B03C8C"/>
    <w:rsid w:val="00B0411F"/>
    <w:rsid w:val="00B0418C"/>
    <w:rsid w:val="00B0456E"/>
    <w:rsid w:val="00B04BCD"/>
    <w:rsid w:val="00B052DF"/>
    <w:rsid w:val="00B0565B"/>
    <w:rsid w:val="00B057C7"/>
    <w:rsid w:val="00B05968"/>
    <w:rsid w:val="00B059CF"/>
    <w:rsid w:val="00B05AC3"/>
    <w:rsid w:val="00B05ADF"/>
    <w:rsid w:val="00B05D45"/>
    <w:rsid w:val="00B06109"/>
    <w:rsid w:val="00B064BD"/>
    <w:rsid w:val="00B06915"/>
    <w:rsid w:val="00B06DDF"/>
    <w:rsid w:val="00B06FCE"/>
    <w:rsid w:val="00B07175"/>
    <w:rsid w:val="00B07559"/>
    <w:rsid w:val="00B0757C"/>
    <w:rsid w:val="00B075A9"/>
    <w:rsid w:val="00B0772F"/>
    <w:rsid w:val="00B07BE0"/>
    <w:rsid w:val="00B07DA3"/>
    <w:rsid w:val="00B10AC6"/>
    <w:rsid w:val="00B10BCA"/>
    <w:rsid w:val="00B10CE5"/>
    <w:rsid w:val="00B10F49"/>
    <w:rsid w:val="00B11134"/>
    <w:rsid w:val="00B11288"/>
    <w:rsid w:val="00B11484"/>
    <w:rsid w:val="00B11549"/>
    <w:rsid w:val="00B11B6E"/>
    <w:rsid w:val="00B122C2"/>
    <w:rsid w:val="00B12392"/>
    <w:rsid w:val="00B12C48"/>
    <w:rsid w:val="00B12F93"/>
    <w:rsid w:val="00B13461"/>
    <w:rsid w:val="00B13470"/>
    <w:rsid w:val="00B139D9"/>
    <w:rsid w:val="00B13C58"/>
    <w:rsid w:val="00B13FDE"/>
    <w:rsid w:val="00B1449F"/>
    <w:rsid w:val="00B147D4"/>
    <w:rsid w:val="00B14C1A"/>
    <w:rsid w:val="00B14DEB"/>
    <w:rsid w:val="00B14EF0"/>
    <w:rsid w:val="00B1516C"/>
    <w:rsid w:val="00B15175"/>
    <w:rsid w:val="00B15214"/>
    <w:rsid w:val="00B153C5"/>
    <w:rsid w:val="00B15466"/>
    <w:rsid w:val="00B1546E"/>
    <w:rsid w:val="00B15589"/>
    <w:rsid w:val="00B15906"/>
    <w:rsid w:val="00B15E4F"/>
    <w:rsid w:val="00B15ED9"/>
    <w:rsid w:val="00B15F1F"/>
    <w:rsid w:val="00B16048"/>
    <w:rsid w:val="00B1608D"/>
    <w:rsid w:val="00B16459"/>
    <w:rsid w:val="00B16620"/>
    <w:rsid w:val="00B167F9"/>
    <w:rsid w:val="00B1680F"/>
    <w:rsid w:val="00B1686A"/>
    <w:rsid w:val="00B1695A"/>
    <w:rsid w:val="00B1696A"/>
    <w:rsid w:val="00B16ACB"/>
    <w:rsid w:val="00B16AE7"/>
    <w:rsid w:val="00B16BDE"/>
    <w:rsid w:val="00B17092"/>
    <w:rsid w:val="00B172E3"/>
    <w:rsid w:val="00B172EF"/>
    <w:rsid w:val="00B17615"/>
    <w:rsid w:val="00B17714"/>
    <w:rsid w:val="00B17A61"/>
    <w:rsid w:val="00B17CED"/>
    <w:rsid w:val="00B203CD"/>
    <w:rsid w:val="00B20472"/>
    <w:rsid w:val="00B2054D"/>
    <w:rsid w:val="00B20558"/>
    <w:rsid w:val="00B2085C"/>
    <w:rsid w:val="00B2098B"/>
    <w:rsid w:val="00B20C0A"/>
    <w:rsid w:val="00B20DFE"/>
    <w:rsid w:val="00B21004"/>
    <w:rsid w:val="00B21458"/>
    <w:rsid w:val="00B21641"/>
    <w:rsid w:val="00B217E7"/>
    <w:rsid w:val="00B21AD7"/>
    <w:rsid w:val="00B21BC8"/>
    <w:rsid w:val="00B21E3A"/>
    <w:rsid w:val="00B222DB"/>
    <w:rsid w:val="00B22C39"/>
    <w:rsid w:val="00B22FE5"/>
    <w:rsid w:val="00B22FF6"/>
    <w:rsid w:val="00B2310F"/>
    <w:rsid w:val="00B232FC"/>
    <w:rsid w:val="00B23344"/>
    <w:rsid w:val="00B2355B"/>
    <w:rsid w:val="00B235C6"/>
    <w:rsid w:val="00B239E1"/>
    <w:rsid w:val="00B242AE"/>
    <w:rsid w:val="00B24BD8"/>
    <w:rsid w:val="00B24D18"/>
    <w:rsid w:val="00B24EBF"/>
    <w:rsid w:val="00B253A5"/>
    <w:rsid w:val="00B253DB"/>
    <w:rsid w:val="00B256A2"/>
    <w:rsid w:val="00B25994"/>
    <w:rsid w:val="00B2599D"/>
    <w:rsid w:val="00B25B7A"/>
    <w:rsid w:val="00B2603A"/>
    <w:rsid w:val="00B261F2"/>
    <w:rsid w:val="00B266BA"/>
    <w:rsid w:val="00B26721"/>
    <w:rsid w:val="00B26793"/>
    <w:rsid w:val="00B26D17"/>
    <w:rsid w:val="00B272A9"/>
    <w:rsid w:val="00B274E0"/>
    <w:rsid w:val="00B27968"/>
    <w:rsid w:val="00B27B96"/>
    <w:rsid w:val="00B27C1C"/>
    <w:rsid w:val="00B27CFA"/>
    <w:rsid w:val="00B301EA"/>
    <w:rsid w:val="00B3032F"/>
    <w:rsid w:val="00B30680"/>
    <w:rsid w:val="00B30953"/>
    <w:rsid w:val="00B30B09"/>
    <w:rsid w:val="00B30B78"/>
    <w:rsid w:val="00B311AC"/>
    <w:rsid w:val="00B31240"/>
    <w:rsid w:val="00B31F78"/>
    <w:rsid w:val="00B31FD9"/>
    <w:rsid w:val="00B3212E"/>
    <w:rsid w:val="00B325E1"/>
    <w:rsid w:val="00B32964"/>
    <w:rsid w:val="00B32BC9"/>
    <w:rsid w:val="00B32EA6"/>
    <w:rsid w:val="00B332A3"/>
    <w:rsid w:val="00B334F7"/>
    <w:rsid w:val="00B33842"/>
    <w:rsid w:val="00B33973"/>
    <w:rsid w:val="00B33CCF"/>
    <w:rsid w:val="00B33D00"/>
    <w:rsid w:val="00B33D35"/>
    <w:rsid w:val="00B340B4"/>
    <w:rsid w:val="00B3431A"/>
    <w:rsid w:val="00B34360"/>
    <w:rsid w:val="00B34C25"/>
    <w:rsid w:val="00B34E99"/>
    <w:rsid w:val="00B353E8"/>
    <w:rsid w:val="00B35487"/>
    <w:rsid w:val="00B35AFE"/>
    <w:rsid w:val="00B3623D"/>
    <w:rsid w:val="00B36392"/>
    <w:rsid w:val="00B363D3"/>
    <w:rsid w:val="00B364B6"/>
    <w:rsid w:val="00B36CD3"/>
    <w:rsid w:val="00B37202"/>
    <w:rsid w:val="00B372DB"/>
    <w:rsid w:val="00B3754D"/>
    <w:rsid w:val="00B377EE"/>
    <w:rsid w:val="00B3780B"/>
    <w:rsid w:val="00B37AB9"/>
    <w:rsid w:val="00B37EBF"/>
    <w:rsid w:val="00B40525"/>
    <w:rsid w:val="00B40B2E"/>
    <w:rsid w:val="00B4103B"/>
    <w:rsid w:val="00B41064"/>
    <w:rsid w:val="00B41B40"/>
    <w:rsid w:val="00B42005"/>
    <w:rsid w:val="00B4221D"/>
    <w:rsid w:val="00B4224E"/>
    <w:rsid w:val="00B42573"/>
    <w:rsid w:val="00B42C63"/>
    <w:rsid w:val="00B43229"/>
    <w:rsid w:val="00B43309"/>
    <w:rsid w:val="00B4346D"/>
    <w:rsid w:val="00B43470"/>
    <w:rsid w:val="00B43663"/>
    <w:rsid w:val="00B43765"/>
    <w:rsid w:val="00B43AED"/>
    <w:rsid w:val="00B43B3A"/>
    <w:rsid w:val="00B43B74"/>
    <w:rsid w:val="00B43CF4"/>
    <w:rsid w:val="00B44624"/>
    <w:rsid w:val="00B44B0C"/>
    <w:rsid w:val="00B4548F"/>
    <w:rsid w:val="00B454CF"/>
    <w:rsid w:val="00B4555B"/>
    <w:rsid w:val="00B45796"/>
    <w:rsid w:val="00B459E5"/>
    <w:rsid w:val="00B45AC9"/>
    <w:rsid w:val="00B45E2F"/>
    <w:rsid w:val="00B45F42"/>
    <w:rsid w:val="00B4603C"/>
    <w:rsid w:val="00B4652E"/>
    <w:rsid w:val="00B4654C"/>
    <w:rsid w:val="00B46BFD"/>
    <w:rsid w:val="00B46C55"/>
    <w:rsid w:val="00B46EF4"/>
    <w:rsid w:val="00B46F86"/>
    <w:rsid w:val="00B46FB9"/>
    <w:rsid w:val="00B470B0"/>
    <w:rsid w:val="00B472BD"/>
    <w:rsid w:val="00B47374"/>
    <w:rsid w:val="00B47412"/>
    <w:rsid w:val="00B47516"/>
    <w:rsid w:val="00B475D4"/>
    <w:rsid w:val="00B4763E"/>
    <w:rsid w:val="00B47A6B"/>
    <w:rsid w:val="00B47C1C"/>
    <w:rsid w:val="00B47CA1"/>
    <w:rsid w:val="00B50260"/>
    <w:rsid w:val="00B503C5"/>
    <w:rsid w:val="00B50449"/>
    <w:rsid w:val="00B50603"/>
    <w:rsid w:val="00B5079B"/>
    <w:rsid w:val="00B50875"/>
    <w:rsid w:val="00B50971"/>
    <w:rsid w:val="00B50E89"/>
    <w:rsid w:val="00B50F37"/>
    <w:rsid w:val="00B514D7"/>
    <w:rsid w:val="00B51521"/>
    <w:rsid w:val="00B51D14"/>
    <w:rsid w:val="00B51F9F"/>
    <w:rsid w:val="00B52443"/>
    <w:rsid w:val="00B5246E"/>
    <w:rsid w:val="00B5253C"/>
    <w:rsid w:val="00B525D5"/>
    <w:rsid w:val="00B5274C"/>
    <w:rsid w:val="00B5295A"/>
    <w:rsid w:val="00B52991"/>
    <w:rsid w:val="00B52B7F"/>
    <w:rsid w:val="00B52CF4"/>
    <w:rsid w:val="00B53076"/>
    <w:rsid w:val="00B530C6"/>
    <w:rsid w:val="00B531B1"/>
    <w:rsid w:val="00B533F3"/>
    <w:rsid w:val="00B53ED2"/>
    <w:rsid w:val="00B53F6F"/>
    <w:rsid w:val="00B54003"/>
    <w:rsid w:val="00B540CF"/>
    <w:rsid w:val="00B540D4"/>
    <w:rsid w:val="00B540E2"/>
    <w:rsid w:val="00B552B0"/>
    <w:rsid w:val="00B553EF"/>
    <w:rsid w:val="00B55B78"/>
    <w:rsid w:val="00B55CCF"/>
    <w:rsid w:val="00B56195"/>
    <w:rsid w:val="00B5624A"/>
    <w:rsid w:val="00B56801"/>
    <w:rsid w:val="00B568F2"/>
    <w:rsid w:val="00B569D0"/>
    <w:rsid w:val="00B574F6"/>
    <w:rsid w:val="00B57971"/>
    <w:rsid w:val="00B57AA7"/>
    <w:rsid w:val="00B57B57"/>
    <w:rsid w:val="00B57D8A"/>
    <w:rsid w:val="00B57EF2"/>
    <w:rsid w:val="00B60471"/>
    <w:rsid w:val="00B6051A"/>
    <w:rsid w:val="00B60C1A"/>
    <w:rsid w:val="00B6110E"/>
    <w:rsid w:val="00B613F0"/>
    <w:rsid w:val="00B61473"/>
    <w:rsid w:val="00B618A9"/>
    <w:rsid w:val="00B618AD"/>
    <w:rsid w:val="00B61A25"/>
    <w:rsid w:val="00B61AD4"/>
    <w:rsid w:val="00B621F0"/>
    <w:rsid w:val="00B62843"/>
    <w:rsid w:val="00B62B5A"/>
    <w:rsid w:val="00B62DF1"/>
    <w:rsid w:val="00B6349D"/>
    <w:rsid w:val="00B6349E"/>
    <w:rsid w:val="00B634F5"/>
    <w:rsid w:val="00B6355B"/>
    <w:rsid w:val="00B63B6A"/>
    <w:rsid w:val="00B64149"/>
    <w:rsid w:val="00B64802"/>
    <w:rsid w:val="00B64893"/>
    <w:rsid w:val="00B64976"/>
    <w:rsid w:val="00B64A20"/>
    <w:rsid w:val="00B64D29"/>
    <w:rsid w:val="00B64E37"/>
    <w:rsid w:val="00B655BC"/>
    <w:rsid w:val="00B65803"/>
    <w:rsid w:val="00B65917"/>
    <w:rsid w:val="00B65919"/>
    <w:rsid w:val="00B65A66"/>
    <w:rsid w:val="00B65B46"/>
    <w:rsid w:val="00B65DF6"/>
    <w:rsid w:val="00B65E21"/>
    <w:rsid w:val="00B65E9E"/>
    <w:rsid w:val="00B66622"/>
    <w:rsid w:val="00B66866"/>
    <w:rsid w:val="00B66B3F"/>
    <w:rsid w:val="00B670F4"/>
    <w:rsid w:val="00B6729D"/>
    <w:rsid w:val="00B674C8"/>
    <w:rsid w:val="00B6750B"/>
    <w:rsid w:val="00B6758A"/>
    <w:rsid w:val="00B67A35"/>
    <w:rsid w:val="00B67AEB"/>
    <w:rsid w:val="00B67F63"/>
    <w:rsid w:val="00B70230"/>
    <w:rsid w:val="00B7031A"/>
    <w:rsid w:val="00B7050E"/>
    <w:rsid w:val="00B70790"/>
    <w:rsid w:val="00B70825"/>
    <w:rsid w:val="00B709A4"/>
    <w:rsid w:val="00B70BB4"/>
    <w:rsid w:val="00B70DD1"/>
    <w:rsid w:val="00B70EA5"/>
    <w:rsid w:val="00B70F0F"/>
    <w:rsid w:val="00B71145"/>
    <w:rsid w:val="00B714DD"/>
    <w:rsid w:val="00B715A2"/>
    <w:rsid w:val="00B71C75"/>
    <w:rsid w:val="00B71E1A"/>
    <w:rsid w:val="00B72092"/>
    <w:rsid w:val="00B720E5"/>
    <w:rsid w:val="00B722C3"/>
    <w:rsid w:val="00B72415"/>
    <w:rsid w:val="00B7256C"/>
    <w:rsid w:val="00B72754"/>
    <w:rsid w:val="00B72968"/>
    <w:rsid w:val="00B7296E"/>
    <w:rsid w:val="00B72B4E"/>
    <w:rsid w:val="00B72C0B"/>
    <w:rsid w:val="00B72D39"/>
    <w:rsid w:val="00B72D99"/>
    <w:rsid w:val="00B72DAB"/>
    <w:rsid w:val="00B730A1"/>
    <w:rsid w:val="00B732C8"/>
    <w:rsid w:val="00B734FB"/>
    <w:rsid w:val="00B73570"/>
    <w:rsid w:val="00B737DE"/>
    <w:rsid w:val="00B73900"/>
    <w:rsid w:val="00B739AA"/>
    <w:rsid w:val="00B739AB"/>
    <w:rsid w:val="00B739C8"/>
    <w:rsid w:val="00B74140"/>
    <w:rsid w:val="00B74403"/>
    <w:rsid w:val="00B74439"/>
    <w:rsid w:val="00B74463"/>
    <w:rsid w:val="00B749F3"/>
    <w:rsid w:val="00B74F83"/>
    <w:rsid w:val="00B75173"/>
    <w:rsid w:val="00B751F6"/>
    <w:rsid w:val="00B75324"/>
    <w:rsid w:val="00B75407"/>
    <w:rsid w:val="00B75680"/>
    <w:rsid w:val="00B7591F"/>
    <w:rsid w:val="00B75E16"/>
    <w:rsid w:val="00B76088"/>
    <w:rsid w:val="00B76234"/>
    <w:rsid w:val="00B768B3"/>
    <w:rsid w:val="00B76D4E"/>
    <w:rsid w:val="00B76D8D"/>
    <w:rsid w:val="00B76DB2"/>
    <w:rsid w:val="00B77016"/>
    <w:rsid w:val="00B77290"/>
    <w:rsid w:val="00B77502"/>
    <w:rsid w:val="00B77DC8"/>
    <w:rsid w:val="00B8070B"/>
    <w:rsid w:val="00B80785"/>
    <w:rsid w:val="00B80A59"/>
    <w:rsid w:val="00B80C47"/>
    <w:rsid w:val="00B81129"/>
    <w:rsid w:val="00B81191"/>
    <w:rsid w:val="00B8145B"/>
    <w:rsid w:val="00B8168E"/>
    <w:rsid w:val="00B8177C"/>
    <w:rsid w:val="00B819D7"/>
    <w:rsid w:val="00B81A61"/>
    <w:rsid w:val="00B81AAD"/>
    <w:rsid w:val="00B81B36"/>
    <w:rsid w:val="00B82187"/>
    <w:rsid w:val="00B821A4"/>
    <w:rsid w:val="00B824E1"/>
    <w:rsid w:val="00B825A5"/>
    <w:rsid w:val="00B826AC"/>
    <w:rsid w:val="00B826C7"/>
    <w:rsid w:val="00B826E5"/>
    <w:rsid w:val="00B82754"/>
    <w:rsid w:val="00B827D1"/>
    <w:rsid w:val="00B82978"/>
    <w:rsid w:val="00B82CA8"/>
    <w:rsid w:val="00B83A81"/>
    <w:rsid w:val="00B83AE8"/>
    <w:rsid w:val="00B83BDA"/>
    <w:rsid w:val="00B83E86"/>
    <w:rsid w:val="00B83F31"/>
    <w:rsid w:val="00B8404B"/>
    <w:rsid w:val="00B8467F"/>
    <w:rsid w:val="00B84723"/>
    <w:rsid w:val="00B84988"/>
    <w:rsid w:val="00B84DAB"/>
    <w:rsid w:val="00B8502A"/>
    <w:rsid w:val="00B850C4"/>
    <w:rsid w:val="00B8514D"/>
    <w:rsid w:val="00B8550F"/>
    <w:rsid w:val="00B857BE"/>
    <w:rsid w:val="00B85832"/>
    <w:rsid w:val="00B8584C"/>
    <w:rsid w:val="00B8586A"/>
    <w:rsid w:val="00B85A85"/>
    <w:rsid w:val="00B85C6D"/>
    <w:rsid w:val="00B8669E"/>
    <w:rsid w:val="00B86902"/>
    <w:rsid w:val="00B86C01"/>
    <w:rsid w:val="00B86E2B"/>
    <w:rsid w:val="00B87078"/>
    <w:rsid w:val="00B87350"/>
    <w:rsid w:val="00B87638"/>
    <w:rsid w:val="00B8799F"/>
    <w:rsid w:val="00B87DB1"/>
    <w:rsid w:val="00B90834"/>
    <w:rsid w:val="00B90EF4"/>
    <w:rsid w:val="00B91031"/>
    <w:rsid w:val="00B91347"/>
    <w:rsid w:val="00B915CB"/>
    <w:rsid w:val="00B9161D"/>
    <w:rsid w:val="00B9179C"/>
    <w:rsid w:val="00B91964"/>
    <w:rsid w:val="00B91DF7"/>
    <w:rsid w:val="00B91EEF"/>
    <w:rsid w:val="00B91F29"/>
    <w:rsid w:val="00B92106"/>
    <w:rsid w:val="00B92132"/>
    <w:rsid w:val="00B92317"/>
    <w:rsid w:val="00B9241A"/>
    <w:rsid w:val="00B9275E"/>
    <w:rsid w:val="00B92845"/>
    <w:rsid w:val="00B92A70"/>
    <w:rsid w:val="00B92CE8"/>
    <w:rsid w:val="00B92D96"/>
    <w:rsid w:val="00B92E18"/>
    <w:rsid w:val="00B92E2B"/>
    <w:rsid w:val="00B92EF1"/>
    <w:rsid w:val="00B92FD0"/>
    <w:rsid w:val="00B9328D"/>
    <w:rsid w:val="00B93290"/>
    <w:rsid w:val="00B93331"/>
    <w:rsid w:val="00B9333B"/>
    <w:rsid w:val="00B93550"/>
    <w:rsid w:val="00B9395E"/>
    <w:rsid w:val="00B93A11"/>
    <w:rsid w:val="00B93B23"/>
    <w:rsid w:val="00B93B83"/>
    <w:rsid w:val="00B94023"/>
    <w:rsid w:val="00B9408F"/>
    <w:rsid w:val="00B9424D"/>
    <w:rsid w:val="00B94311"/>
    <w:rsid w:val="00B946C4"/>
    <w:rsid w:val="00B9499E"/>
    <w:rsid w:val="00B95461"/>
    <w:rsid w:val="00B9555C"/>
    <w:rsid w:val="00B95842"/>
    <w:rsid w:val="00B9592A"/>
    <w:rsid w:val="00B95C2E"/>
    <w:rsid w:val="00B95DFF"/>
    <w:rsid w:val="00B961BC"/>
    <w:rsid w:val="00B961E7"/>
    <w:rsid w:val="00B967D6"/>
    <w:rsid w:val="00B96DDC"/>
    <w:rsid w:val="00B96EF2"/>
    <w:rsid w:val="00B97336"/>
    <w:rsid w:val="00B9745E"/>
    <w:rsid w:val="00B97669"/>
    <w:rsid w:val="00B97767"/>
    <w:rsid w:val="00B979D9"/>
    <w:rsid w:val="00B97D1F"/>
    <w:rsid w:val="00B97E7E"/>
    <w:rsid w:val="00BA02C2"/>
    <w:rsid w:val="00BA0453"/>
    <w:rsid w:val="00BA0599"/>
    <w:rsid w:val="00BA05CD"/>
    <w:rsid w:val="00BA05DE"/>
    <w:rsid w:val="00BA077D"/>
    <w:rsid w:val="00BA08BE"/>
    <w:rsid w:val="00BA0E85"/>
    <w:rsid w:val="00BA0F32"/>
    <w:rsid w:val="00BA17D2"/>
    <w:rsid w:val="00BA191B"/>
    <w:rsid w:val="00BA1D8B"/>
    <w:rsid w:val="00BA1F08"/>
    <w:rsid w:val="00BA26C8"/>
    <w:rsid w:val="00BA29F8"/>
    <w:rsid w:val="00BA2AB8"/>
    <w:rsid w:val="00BA2B0D"/>
    <w:rsid w:val="00BA2B7E"/>
    <w:rsid w:val="00BA2CFF"/>
    <w:rsid w:val="00BA2F80"/>
    <w:rsid w:val="00BA3132"/>
    <w:rsid w:val="00BA35C0"/>
    <w:rsid w:val="00BA3892"/>
    <w:rsid w:val="00BA3958"/>
    <w:rsid w:val="00BA3E06"/>
    <w:rsid w:val="00BA44FE"/>
    <w:rsid w:val="00BA48EE"/>
    <w:rsid w:val="00BA5272"/>
    <w:rsid w:val="00BA55F3"/>
    <w:rsid w:val="00BA566F"/>
    <w:rsid w:val="00BA6280"/>
    <w:rsid w:val="00BA663C"/>
    <w:rsid w:val="00BA67B9"/>
    <w:rsid w:val="00BA6900"/>
    <w:rsid w:val="00BA6BE6"/>
    <w:rsid w:val="00BA6CA9"/>
    <w:rsid w:val="00BA72B4"/>
    <w:rsid w:val="00BA75C8"/>
    <w:rsid w:val="00BA7718"/>
    <w:rsid w:val="00BA7757"/>
    <w:rsid w:val="00BA7785"/>
    <w:rsid w:val="00BA7831"/>
    <w:rsid w:val="00BA783A"/>
    <w:rsid w:val="00BA7E97"/>
    <w:rsid w:val="00BA7FCD"/>
    <w:rsid w:val="00BB0694"/>
    <w:rsid w:val="00BB07D4"/>
    <w:rsid w:val="00BB0860"/>
    <w:rsid w:val="00BB0B0F"/>
    <w:rsid w:val="00BB101D"/>
    <w:rsid w:val="00BB105F"/>
    <w:rsid w:val="00BB1730"/>
    <w:rsid w:val="00BB17B0"/>
    <w:rsid w:val="00BB18FC"/>
    <w:rsid w:val="00BB19EA"/>
    <w:rsid w:val="00BB1B6B"/>
    <w:rsid w:val="00BB1BF7"/>
    <w:rsid w:val="00BB1D31"/>
    <w:rsid w:val="00BB1E28"/>
    <w:rsid w:val="00BB1F7F"/>
    <w:rsid w:val="00BB261E"/>
    <w:rsid w:val="00BB2724"/>
    <w:rsid w:val="00BB289C"/>
    <w:rsid w:val="00BB2C3E"/>
    <w:rsid w:val="00BB327B"/>
    <w:rsid w:val="00BB3286"/>
    <w:rsid w:val="00BB351E"/>
    <w:rsid w:val="00BB3898"/>
    <w:rsid w:val="00BB3C31"/>
    <w:rsid w:val="00BB3CAD"/>
    <w:rsid w:val="00BB3ED3"/>
    <w:rsid w:val="00BB4192"/>
    <w:rsid w:val="00BB4295"/>
    <w:rsid w:val="00BB442E"/>
    <w:rsid w:val="00BB45AF"/>
    <w:rsid w:val="00BB4814"/>
    <w:rsid w:val="00BB485C"/>
    <w:rsid w:val="00BB4947"/>
    <w:rsid w:val="00BB4A5C"/>
    <w:rsid w:val="00BB4BD7"/>
    <w:rsid w:val="00BB5039"/>
    <w:rsid w:val="00BB533E"/>
    <w:rsid w:val="00BB5359"/>
    <w:rsid w:val="00BB5387"/>
    <w:rsid w:val="00BB5421"/>
    <w:rsid w:val="00BB5695"/>
    <w:rsid w:val="00BB5855"/>
    <w:rsid w:val="00BB630C"/>
    <w:rsid w:val="00BB65C0"/>
    <w:rsid w:val="00BB6775"/>
    <w:rsid w:val="00BB67C8"/>
    <w:rsid w:val="00BB67F6"/>
    <w:rsid w:val="00BB6920"/>
    <w:rsid w:val="00BB6C22"/>
    <w:rsid w:val="00BB6C25"/>
    <w:rsid w:val="00BB713C"/>
    <w:rsid w:val="00BB7734"/>
    <w:rsid w:val="00BB7950"/>
    <w:rsid w:val="00BB7BE5"/>
    <w:rsid w:val="00BC00CA"/>
    <w:rsid w:val="00BC0314"/>
    <w:rsid w:val="00BC031A"/>
    <w:rsid w:val="00BC0442"/>
    <w:rsid w:val="00BC04A4"/>
    <w:rsid w:val="00BC05F8"/>
    <w:rsid w:val="00BC0901"/>
    <w:rsid w:val="00BC0985"/>
    <w:rsid w:val="00BC09F7"/>
    <w:rsid w:val="00BC0A45"/>
    <w:rsid w:val="00BC0BAC"/>
    <w:rsid w:val="00BC0BBC"/>
    <w:rsid w:val="00BC0BEF"/>
    <w:rsid w:val="00BC0F86"/>
    <w:rsid w:val="00BC1221"/>
    <w:rsid w:val="00BC1E9C"/>
    <w:rsid w:val="00BC20D5"/>
    <w:rsid w:val="00BC2321"/>
    <w:rsid w:val="00BC2430"/>
    <w:rsid w:val="00BC24FE"/>
    <w:rsid w:val="00BC267A"/>
    <w:rsid w:val="00BC2C36"/>
    <w:rsid w:val="00BC2F2E"/>
    <w:rsid w:val="00BC3157"/>
    <w:rsid w:val="00BC31A4"/>
    <w:rsid w:val="00BC3644"/>
    <w:rsid w:val="00BC373D"/>
    <w:rsid w:val="00BC3956"/>
    <w:rsid w:val="00BC3B2E"/>
    <w:rsid w:val="00BC3D5C"/>
    <w:rsid w:val="00BC3EA5"/>
    <w:rsid w:val="00BC3FFB"/>
    <w:rsid w:val="00BC4017"/>
    <w:rsid w:val="00BC4533"/>
    <w:rsid w:val="00BC4808"/>
    <w:rsid w:val="00BC4834"/>
    <w:rsid w:val="00BC4882"/>
    <w:rsid w:val="00BC4BA5"/>
    <w:rsid w:val="00BC54FA"/>
    <w:rsid w:val="00BC551A"/>
    <w:rsid w:val="00BC5DC9"/>
    <w:rsid w:val="00BC5EAE"/>
    <w:rsid w:val="00BC5ECE"/>
    <w:rsid w:val="00BC5ED6"/>
    <w:rsid w:val="00BC6169"/>
    <w:rsid w:val="00BC62A8"/>
    <w:rsid w:val="00BC68D1"/>
    <w:rsid w:val="00BC6F48"/>
    <w:rsid w:val="00BC7245"/>
    <w:rsid w:val="00BC74EC"/>
    <w:rsid w:val="00BC7699"/>
    <w:rsid w:val="00BC7C81"/>
    <w:rsid w:val="00BC7DC0"/>
    <w:rsid w:val="00BD00CE"/>
    <w:rsid w:val="00BD0429"/>
    <w:rsid w:val="00BD058D"/>
    <w:rsid w:val="00BD0859"/>
    <w:rsid w:val="00BD0C0F"/>
    <w:rsid w:val="00BD0D4F"/>
    <w:rsid w:val="00BD1049"/>
    <w:rsid w:val="00BD10B0"/>
    <w:rsid w:val="00BD1CD2"/>
    <w:rsid w:val="00BD1E2C"/>
    <w:rsid w:val="00BD1E52"/>
    <w:rsid w:val="00BD20C3"/>
    <w:rsid w:val="00BD2265"/>
    <w:rsid w:val="00BD2322"/>
    <w:rsid w:val="00BD237D"/>
    <w:rsid w:val="00BD2710"/>
    <w:rsid w:val="00BD2C12"/>
    <w:rsid w:val="00BD2C6C"/>
    <w:rsid w:val="00BD2CBC"/>
    <w:rsid w:val="00BD2FB3"/>
    <w:rsid w:val="00BD3247"/>
    <w:rsid w:val="00BD3272"/>
    <w:rsid w:val="00BD32FB"/>
    <w:rsid w:val="00BD34FB"/>
    <w:rsid w:val="00BD36CA"/>
    <w:rsid w:val="00BD36E3"/>
    <w:rsid w:val="00BD39CA"/>
    <w:rsid w:val="00BD3CBA"/>
    <w:rsid w:val="00BD3E3B"/>
    <w:rsid w:val="00BD3FC2"/>
    <w:rsid w:val="00BD4296"/>
    <w:rsid w:val="00BD4392"/>
    <w:rsid w:val="00BD461E"/>
    <w:rsid w:val="00BD46CA"/>
    <w:rsid w:val="00BD4BE4"/>
    <w:rsid w:val="00BD4C00"/>
    <w:rsid w:val="00BD4E9B"/>
    <w:rsid w:val="00BD4EA5"/>
    <w:rsid w:val="00BD52E1"/>
    <w:rsid w:val="00BD54E7"/>
    <w:rsid w:val="00BD563D"/>
    <w:rsid w:val="00BD5765"/>
    <w:rsid w:val="00BD5CA2"/>
    <w:rsid w:val="00BD5D61"/>
    <w:rsid w:val="00BD5F57"/>
    <w:rsid w:val="00BD610B"/>
    <w:rsid w:val="00BD61D4"/>
    <w:rsid w:val="00BD61ED"/>
    <w:rsid w:val="00BD6454"/>
    <w:rsid w:val="00BD64B6"/>
    <w:rsid w:val="00BD64F6"/>
    <w:rsid w:val="00BD6B19"/>
    <w:rsid w:val="00BD6B87"/>
    <w:rsid w:val="00BD6CD4"/>
    <w:rsid w:val="00BD6E3F"/>
    <w:rsid w:val="00BD7022"/>
    <w:rsid w:val="00BD73E3"/>
    <w:rsid w:val="00BD7503"/>
    <w:rsid w:val="00BD7C5C"/>
    <w:rsid w:val="00BD7F55"/>
    <w:rsid w:val="00BE02F9"/>
    <w:rsid w:val="00BE067D"/>
    <w:rsid w:val="00BE06AE"/>
    <w:rsid w:val="00BE0A28"/>
    <w:rsid w:val="00BE0CA2"/>
    <w:rsid w:val="00BE0D7F"/>
    <w:rsid w:val="00BE0FC1"/>
    <w:rsid w:val="00BE14A0"/>
    <w:rsid w:val="00BE1579"/>
    <w:rsid w:val="00BE18D6"/>
    <w:rsid w:val="00BE1D53"/>
    <w:rsid w:val="00BE1ED8"/>
    <w:rsid w:val="00BE1FDA"/>
    <w:rsid w:val="00BE2002"/>
    <w:rsid w:val="00BE2322"/>
    <w:rsid w:val="00BE28F0"/>
    <w:rsid w:val="00BE319D"/>
    <w:rsid w:val="00BE363E"/>
    <w:rsid w:val="00BE3A16"/>
    <w:rsid w:val="00BE3AC6"/>
    <w:rsid w:val="00BE3B7B"/>
    <w:rsid w:val="00BE3E35"/>
    <w:rsid w:val="00BE43FB"/>
    <w:rsid w:val="00BE445B"/>
    <w:rsid w:val="00BE4967"/>
    <w:rsid w:val="00BE4A8B"/>
    <w:rsid w:val="00BE4C11"/>
    <w:rsid w:val="00BE4D90"/>
    <w:rsid w:val="00BE506E"/>
    <w:rsid w:val="00BE5081"/>
    <w:rsid w:val="00BE54A7"/>
    <w:rsid w:val="00BE56EF"/>
    <w:rsid w:val="00BE56FD"/>
    <w:rsid w:val="00BE59EC"/>
    <w:rsid w:val="00BE5BAE"/>
    <w:rsid w:val="00BE5EE3"/>
    <w:rsid w:val="00BE5F19"/>
    <w:rsid w:val="00BE6293"/>
    <w:rsid w:val="00BE6705"/>
    <w:rsid w:val="00BE685A"/>
    <w:rsid w:val="00BE6AB4"/>
    <w:rsid w:val="00BE6B04"/>
    <w:rsid w:val="00BE6D7C"/>
    <w:rsid w:val="00BE6DEE"/>
    <w:rsid w:val="00BE6F67"/>
    <w:rsid w:val="00BE71D5"/>
    <w:rsid w:val="00BE7493"/>
    <w:rsid w:val="00BE7785"/>
    <w:rsid w:val="00BF0126"/>
    <w:rsid w:val="00BF0E61"/>
    <w:rsid w:val="00BF0FB6"/>
    <w:rsid w:val="00BF15E0"/>
    <w:rsid w:val="00BF1861"/>
    <w:rsid w:val="00BF18FD"/>
    <w:rsid w:val="00BF1C2B"/>
    <w:rsid w:val="00BF1EC4"/>
    <w:rsid w:val="00BF2430"/>
    <w:rsid w:val="00BF282D"/>
    <w:rsid w:val="00BF3050"/>
    <w:rsid w:val="00BF339B"/>
    <w:rsid w:val="00BF388C"/>
    <w:rsid w:val="00BF38CE"/>
    <w:rsid w:val="00BF3DDD"/>
    <w:rsid w:val="00BF41E1"/>
    <w:rsid w:val="00BF4386"/>
    <w:rsid w:val="00BF471A"/>
    <w:rsid w:val="00BF479B"/>
    <w:rsid w:val="00BF4B02"/>
    <w:rsid w:val="00BF500A"/>
    <w:rsid w:val="00BF50A0"/>
    <w:rsid w:val="00BF50E7"/>
    <w:rsid w:val="00BF5461"/>
    <w:rsid w:val="00BF56EE"/>
    <w:rsid w:val="00BF578C"/>
    <w:rsid w:val="00BF5953"/>
    <w:rsid w:val="00BF59EB"/>
    <w:rsid w:val="00BF5BC4"/>
    <w:rsid w:val="00BF5C7C"/>
    <w:rsid w:val="00BF5DB6"/>
    <w:rsid w:val="00BF6006"/>
    <w:rsid w:val="00BF60DC"/>
    <w:rsid w:val="00BF6288"/>
    <w:rsid w:val="00BF6BD8"/>
    <w:rsid w:val="00BF6D1E"/>
    <w:rsid w:val="00BF6D44"/>
    <w:rsid w:val="00BF6DC6"/>
    <w:rsid w:val="00BF72DD"/>
    <w:rsid w:val="00BF731E"/>
    <w:rsid w:val="00BF7331"/>
    <w:rsid w:val="00BF7563"/>
    <w:rsid w:val="00BF7808"/>
    <w:rsid w:val="00BF7A10"/>
    <w:rsid w:val="00BF7A8C"/>
    <w:rsid w:val="00BF7C7D"/>
    <w:rsid w:val="00C00722"/>
    <w:rsid w:val="00C008CC"/>
    <w:rsid w:val="00C009C8"/>
    <w:rsid w:val="00C00D58"/>
    <w:rsid w:val="00C00DD9"/>
    <w:rsid w:val="00C00FEC"/>
    <w:rsid w:val="00C01156"/>
    <w:rsid w:val="00C014B3"/>
    <w:rsid w:val="00C01690"/>
    <w:rsid w:val="00C0170D"/>
    <w:rsid w:val="00C017E6"/>
    <w:rsid w:val="00C01817"/>
    <w:rsid w:val="00C0182A"/>
    <w:rsid w:val="00C01A43"/>
    <w:rsid w:val="00C01B24"/>
    <w:rsid w:val="00C02527"/>
    <w:rsid w:val="00C02A15"/>
    <w:rsid w:val="00C02AA8"/>
    <w:rsid w:val="00C02AC7"/>
    <w:rsid w:val="00C02CEA"/>
    <w:rsid w:val="00C02F10"/>
    <w:rsid w:val="00C02F4E"/>
    <w:rsid w:val="00C03286"/>
    <w:rsid w:val="00C03684"/>
    <w:rsid w:val="00C0383E"/>
    <w:rsid w:val="00C03843"/>
    <w:rsid w:val="00C03B2D"/>
    <w:rsid w:val="00C03CAB"/>
    <w:rsid w:val="00C03D74"/>
    <w:rsid w:val="00C03F0F"/>
    <w:rsid w:val="00C04217"/>
    <w:rsid w:val="00C0441F"/>
    <w:rsid w:val="00C046DB"/>
    <w:rsid w:val="00C049E9"/>
    <w:rsid w:val="00C04AEA"/>
    <w:rsid w:val="00C04FAC"/>
    <w:rsid w:val="00C05136"/>
    <w:rsid w:val="00C05451"/>
    <w:rsid w:val="00C05458"/>
    <w:rsid w:val="00C054C5"/>
    <w:rsid w:val="00C057D0"/>
    <w:rsid w:val="00C05866"/>
    <w:rsid w:val="00C05E22"/>
    <w:rsid w:val="00C05E3B"/>
    <w:rsid w:val="00C05FF6"/>
    <w:rsid w:val="00C0622D"/>
    <w:rsid w:val="00C06595"/>
    <w:rsid w:val="00C06602"/>
    <w:rsid w:val="00C0698A"/>
    <w:rsid w:val="00C0698E"/>
    <w:rsid w:val="00C06DA4"/>
    <w:rsid w:val="00C06ED7"/>
    <w:rsid w:val="00C07BA3"/>
    <w:rsid w:val="00C07C1E"/>
    <w:rsid w:val="00C07CD9"/>
    <w:rsid w:val="00C07E16"/>
    <w:rsid w:val="00C10917"/>
    <w:rsid w:val="00C10AB4"/>
    <w:rsid w:val="00C10C45"/>
    <w:rsid w:val="00C11082"/>
    <w:rsid w:val="00C1121A"/>
    <w:rsid w:val="00C1121F"/>
    <w:rsid w:val="00C11241"/>
    <w:rsid w:val="00C11379"/>
    <w:rsid w:val="00C116AA"/>
    <w:rsid w:val="00C11EE4"/>
    <w:rsid w:val="00C1201D"/>
    <w:rsid w:val="00C12877"/>
    <w:rsid w:val="00C12A56"/>
    <w:rsid w:val="00C12BA2"/>
    <w:rsid w:val="00C12FC3"/>
    <w:rsid w:val="00C12FF1"/>
    <w:rsid w:val="00C13C44"/>
    <w:rsid w:val="00C140AF"/>
    <w:rsid w:val="00C14419"/>
    <w:rsid w:val="00C144E2"/>
    <w:rsid w:val="00C14586"/>
    <w:rsid w:val="00C145AB"/>
    <w:rsid w:val="00C145F1"/>
    <w:rsid w:val="00C14887"/>
    <w:rsid w:val="00C14919"/>
    <w:rsid w:val="00C14A6A"/>
    <w:rsid w:val="00C14BEE"/>
    <w:rsid w:val="00C150DE"/>
    <w:rsid w:val="00C15563"/>
    <w:rsid w:val="00C1602B"/>
    <w:rsid w:val="00C162ED"/>
    <w:rsid w:val="00C163AC"/>
    <w:rsid w:val="00C164B6"/>
    <w:rsid w:val="00C1661B"/>
    <w:rsid w:val="00C166B3"/>
    <w:rsid w:val="00C16AD0"/>
    <w:rsid w:val="00C16B6F"/>
    <w:rsid w:val="00C16D41"/>
    <w:rsid w:val="00C16F93"/>
    <w:rsid w:val="00C16FFB"/>
    <w:rsid w:val="00C1723D"/>
    <w:rsid w:val="00C1747E"/>
    <w:rsid w:val="00C174BE"/>
    <w:rsid w:val="00C177B2"/>
    <w:rsid w:val="00C17858"/>
    <w:rsid w:val="00C17C52"/>
    <w:rsid w:val="00C17CFA"/>
    <w:rsid w:val="00C17EA1"/>
    <w:rsid w:val="00C2003A"/>
    <w:rsid w:val="00C201CE"/>
    <w:rsid w:val="00C20331"/>
    <w:rsid w:val="00C20770"/>
    <w:rsid w:val="00C20971"/>
    <w:rsid w:val="00C20A9C"/>
    <w:rsid w:val="00C20B56"/>
    <w:rsid w:val="00C20B5F"/>
    <w:rsid w:val="00C20C08"/>
    <w:rsid w:val="00C20D68"/>
    <w:rsid w:val="00C210E5"/>
    <w:rsid w:val="00C212A8"/>
    <w:rsid w:val="00C2136D"/>
    <w:rsid w:val="00C2146A"/>
    <w:rsid w:val="00C2172D"/>
    <w:rsid w:val="00C21A92"/>
    <w:rsid w:val="00C21C58"/>
    <w:rsid w:val="00C21D93"/>
    <w:rsid w:val="00C21EE8"/>
    <w:rsid w:val="00C2201B"/>
    <w:rsid w:val="00C220DA"/>
    <w:rsid w:val="00C22898"/>
    <w:rsid w:val="00C2292D"/>
    <w:rsid w:val="00C22B72"/>
    <w:rsid w:val="00C230FA"/>
    <w:rsid w:val="00C23805"/>
    <w:rsid w:val="00C23955"/>
    <w:rsid w:val="00C239A6"/>
    <w:rsid w:val="00C23AAC"/>
    <w:rsid w:val="00C23F09"/>
    <w:rsid w:val="00C24122"/>
    <w:rsid w:val="00C242EC"/>
    <w:rsid w:val="00C249AA"/>
    <w:rsid w:val="00C24C39"/>
    <w:rsid w:val="00C24CE1"/>
    <w:rsid w:val="00C24F61"/>
    <w:rsid w:val="00C25103"/>
    <w:rsid w:val="00C25322"/>
    <w:rsid w:val="00C25390"/>
    <w:rsid w:val="00C253AD"/>
    <w:rsid w:val="00C253CB"/>
    <w:rsid w:val="00C255BB"/>
    <w:rsid w:val="00C257BF"/>
    <w:rsid w:val="00C25839"/>
    <w:rsid w:val="00C25D1B"/>
    <w:rsid w:val="00C25DEB"/>
    <w:rsid w:val="00C25E7D"/>
    <w:rsid w:val="00C25F84"/>
    <w:rsid w:val="00C2608C"/>
    <w:rsid w:val="00C26273"/>
    <w:rsid w:val="00C26745"/>
    <w:rsid w:val="00C267B0"/>
    <w:rsid w:val="00C268DC"/>
    <w:rsid w:val="00C26BC3"/>
    <w:rsid w:val="00C26E0B"/>
    <w:rsid w:val="00C26E30"/>
    <w:rsid w:val="00C26F8A"/>
    <w:rsid w:val="00C27299"/>
    <w:rsid w:val="00C27D02"/>
    <w:rsid w:val="00C3046B"/>
    <w:rsid w:val="00C30609"/>
    <w:rsid w:val="00C30FA4"/>
    <w:rsid w:val="00C310D5"/>
    <w:rsid w:val="00C31249"/>
    <w:rsid w:val="00C3141D"/>
    <w:rsid w:val="00C318F3"/>
    <w:rsid w:val="00C31B68"/>
    <w:rsid w:val="00C31EBC"/>
    <w:rsid w:val="00C32128"/>
    <w:rsid w:val="00C321BA"/>
    <w:rsid w:val="00C322AC"/>
    <w:rsid w:val="00C323AA"/>
    <w:rsid w:val="00C32599"/>
    <w:rsid w:val="00C32686"/>
    <w:rsid w:val="00C32ABD"/>
    <w:rsid w:val="00C32BA8"/>
    <w:rsid w:val="00C32D4E"/>
    <w:rsid w:val="00C33A6E"/>
    <w:rsid w:val="00C33C90"/>
    <w:rsid w:val="00C33E44"/>
    <w:rsid w:val="00C33E55"/>
    <w:rsid w:val="00C34326"/>
    <w:rsid w:val="00C3443A"/>
    <w:rsid w:val="00C34494"/>
    <w:rsid w:val="00C3480C"/>
    <w:rsid w:val="00C35225"/>
    <w:rsid w:val="00C352BB"/>
    <w:rsid w:val="00C3542F"/>
    <w:rsid w:val="00C355DB"/>
    <w:rsid w:val="00C35A78"/>
    <w:rsid w:val="00C3610C"/>
    <w:rsid w:val="00C36444"/>
    <w:rsid w:val="00C367E8"/>
    <w:rsid w:val="00C36813"/>
    <w:rsid w:val="00C368BD"/>
    <w:rsid w:val="00C36CAF"/>
    <w:rsid w:val="00C36E33"/>
    <w:rsid w:val="00C36F80"/>
    <w:rsid w:val="00C37065"/>
    <w:rsid w:val="00C372C9"/>
    <w:rsid w:val="00C37503"/>
    <w:rsid w:val="00C375DD"/>
    <w:rsid w:val="00C37973"/>
    <w:rsid w:val="00C37B1B"/>
    <w:rsid w:val="00C400A8"/>
    <w:rsid w:val="00C402BD"/>
    <w:rsid w:val="00C40340"/>
    <w:rsid w:val="00C40446"/>
    <w:rsid w:val="00C40941"/>
    <w:rsid w:val="00C40968"/>
    <w:rsid w:val="00C40B01"/>
    <w:rsid w:val="00C40E6F"/>
    <w:rsid w:val="00C4116E"/>
    <w:rsid w:val="00C412D4"/>
    <w:rsid w:val="00C41321"/>
    <w:rsid w:val="00C413DF"/>
    <w:rsid w:val="00C41950"/>
    <w:rsid w:val="00C41A4E"/>
    <w:rsid w:val="00C41BD8"/>
    <w:rsid w:val="00C42547"/>
    <w:rsid w:val="00C42821"/>
    <w:rsid w:val="00C42997"/>
    <w:rsid w:val="00C42C5D"/>
    <w:rsid w:val="00C42DE7"/>
    <w:rsid w:val="00C432B2"/>
    <w:rsid w:val="00C4352F"/>
    <w:rsid w:val="00C4361E"/>
    <w:rsid w:val="00C436C8"/>
    <w:rsid w:val="00C4379C"/>
    <w:rsid w:val="00C43A02"/>
    <w:rsid w:val="00C43F3F"/>
    <w:rsid w:val="00C44157"/>
    <w:rsid w:val="00C449A0"/>
    <w:rsid w:val="00C44D3E"/>
    <w:rsid w:val="00C45009"/>
    <w:rsid w:val="00C450A4"/>
    <w:rsid w:val="00C450CF"/>
    <w:rsid w:val="00C45254"/>
    <w:rsid w:val="00C45505"/>
    <w:rsid w:val="00C45698"/>
    <w:rsid w:val="00C45A51"/>
    <w:rsid w:val="00C45BA9"/>
    <w:rsid w:val="00C45CFC"/>
    <w:rsid w:val="00C45E2A"/>
    <w:rsid w:val="00C45E6E"/>
    <w:rsid w:val="00C46010"/>
    <w:rsid w:val="00C46041"/>
    <w:rsid w:val="00C461B6"/>
    <w:rsid w:val="00C462A9"/>
    <w:rsid w:val="00C4655A"/>
    <w:rsid w:val="00C46C39"/>
    <w:rsid w:val="00C46C60"/>
    <w:rsid w:val="00C46D77"/>
    <w:rsid w:val="00C46D7D"/>
    <w:rsid w:val="00C471E0"/>
    <w:rsid w:val="00C4740D"/>
    <w:rsid w:val="00C47DD6"/>
    <w:rsid w:val="00C47DF2"/>
    <w:rsid w:val="00C47F1F"/>
    <w:rsid w:val="00C5029E"/>
    <w:rsid w:val="00C505F4"/>
    <w:rsid w:val="00C5095F"/>
    <w:rsid w:val="00C509DE"/>
    <w:rsid w:val="00C50A0C"/>
    <w:rsid w:val="00C50CE0"/>
    <w:rsid w:val="00C50DCE"/>
    <w:rsid w:val="00C50EA5"/>
    <w:rsid w:val="00C50EE9"/>
    <w:rsid w:val="00C50FAA"/>
    <w:rsid w:val="00C510CC"/>
    <w:rsid w:val="00C51176"/>
    <w:rsid w:val="00C515C7"/>
    <w:rsid w:val="00C5172B"/>
    <w:rsid w:val="00C51B20"/>
    <w:rsid w:val="00C51B79"/>
    <w:rsid w:val="00C51CC0"/>
    <w:rsid w:val="00C52069"/>
    <w:rsid w:val="00C5214B"/>
    <w:rsid w:val="00C5222C"/>
    <w:rsid w:val="00C522B4"/>
    <w:rsid w:val="00C522DC"/>
    <w:rsid w:val="00C524A5"/>
    <w:rsid w:val="00C52B93"/>
    <w:rsid w:val="00C52D51"/>
    <w:rsid w:val="00C52F01"/>
    <w:rsid w:val="00C53013"/>
    <w:rsid w:val="00C53043"/>
    <w:rsid w:val="00C53311"/>
    <w:rsid w:val="00C536E7"/>
    <w:rsid w:val="00C53781"/>
    <w:rsid w:val="00C53A42"/>
    <w:rsid w:val="00C53B4F"/>
    <w:rsid w:val="00C53B82"/>
    <w:rsid w:val="00C5415D"/>
    <w:rsid w:val="00C541FC"/>
    <w:rsid w:val="00C542F0"/>
    <w:rsid w:val="00C550AA"/>
    <w:rsid w:val="00C55111"/>
    <w:rsid w:val="00C55444"/>
    <w:rsid w:val="00C55666"/>
    <w:rsid w:val="00C557E2"/>
    <w:rsid w:val="00C558CB"/>
    <w:rsid w:val="00C55B82"/>
    <w:rsid w:val="00C55CED"/>
    <w:rsid w:val="00C5665E"/>
    <w:rsid w:val="00C5672C"/>
    <w:rsid w:val="00C56780"/>
    <w:rsid w:val="00C568D0"/>
    <w:rsid w:val="00C568DF"/>
    <w:rsid w:val="00C56909"/>
    <w:rsid w:val="00C56A64"/>
    <w:rsid w:val="00C56EED"/>
    <w:rsid w:val="00C56F88"/>
    <w:rsid w:val="00C570E4"/>
    <w:rsid w:val="00C57170"/>
    <w:rsid w:val="00C57216"/>
    <w:rsid w:val="00C57220"/>
    <w:rsid w:val="00C57486"/>
    <w:rsid w:val="00C57B0E"/>
    <w:rsid w:val="00C60164"/>
    <w:rsid w:val="00C60259"/>
    <w:rsid w:val="00C60D9D"/>
    <w:rsid w:val="00C60DE5"/>
    <w:rsid w:val="00C60F7E"/>
    <w:rsid w:val="00C6108E"/>
    <w:rsid w:val="00C614E0"/>
    <w:rsid w:val="00C617AF"/>
    <w:rsid w:val="00C61A52"/>
    <w:rsid w:val="00C61BD0"/>
    <w:rsid w:val="00C61C23"/>
    <w:rsid w:val="00C61D80"/>
    <w:rsid w:val="00C61E0E"/>
    <w:rsid w:val="00C61F86"/>
    <w:rsid w:val="00C62121"/>
    <w:rsid w:val="00C623FD"/>
    <w:rsid w:val="00C62618"/>
    <w:rsid w:val="00C62695"/>
    <w:rsid w:val="00C62802"/>
    <w:rsid w:val="00C6284B"/>
    <w:rsid w:val="00C628F9"/>
    <w:rsid w:val="00C629B8"/>
    <w:rsid w:val="00C6354C"/>
    <w:rsid w:val="00C63690"/>
    <w:rsid w:val="00C63739"/>
    <w:rsid w:val="00C63878"/>
    <w:rsid w:val="00C63976"/>
    <w:rsid w:val="00C63E19"/>
    <w:rsid w:val="00C647F6"/>
    <w:rsid w:val="00C64848"/>
    <w:rsid w:val="00C64858"/>
    <w:rsid w:val="00C648D9"/>
    <w:rsid w:val="00C64BD5"/>
    <w:rsid w:val="00C64EBC"/>
    <w:rsid w:val="00C652A0"/>
    <w:rsid w:val="00C65727"/>
    <w:rsid w:val="00C65B1D"/>
    <w:rsid w:val="00C65BFE"/>
    <w:rsid w:val="00C65E48"/>
    <w:rsid w:val="00C66014"/>
    <w:rsid w:val="00C66177"/>
    <w:rsid w:val="00C662B1"/>
    <w:rsid w:val="00C66337"/>
    <w:rsid w:val="00C66567"/>
    <w:rsid w:val="00C66735"/>
    <w:rsid w:val="00C6677A"/>
    <w:rsid w:val="00C66C7D"/>
    <w:rsid w:val="00C66CAB"/>
    <w:rsid w:val="00C66E58"/>
    <w:rsid w:val="00C67132"/>
    <w:rsid w:val="00C672AD"/>
    <w:rsid w:val="00C673D0"/>
    <w:rsid w:val="00C6752D"/>
    <w:rsid w:val="00C6787F"/>
    <w:rsid w:val="00C67A5C"/>
    <w:rsid w:val="00C67E5B"/>
    <w:rsid w:val="00C67EFD"/>
    <w:rsid w:val="00C70482"/>
    <w:rsid w:val="00C70785"/>
    <w:rsid w:val="00C709A1"/>
    <w:rsid w:val="00C70BDC"/>
    <w:rsid w:val="00C70C5C"/>
    <w:rsid w:val="00C71294"/>
    <w:rsid w:val="00C712B0"/>
    <w:rsid w:val="00C7145D"/>
    <w:rsid w:val="00C716CF"/>
    <w:rsid w:val="00C718AE"/>
    <w:rsid w:val="00C71A20"/>
    <w:rsid w:val="00C71CD5"/>
    <w:rsid w:val="00C71FCB"/>
    <w:rsid w:val="00C72099"/>
    <w:rsid w:val="00C72131"/>
    <w:rsid w:val="00C721F7"/>
    <w:rsid w:val="00C7223F"/>
    <w:rsid w:val="00C725BD"/>
    <w:rsid w:val="00C728B7"/>
    <w:rsid w:val="00C72F5D"/>
    <w:rsid w:val="00C73136"/>
    <w:rsid w:val="00C733D9"/>
    <w:rsid w:val="00C73431"/>
    <w:rsid w:val="00C735A1"/>
    <w:rsid w:val="00C73694"/>
    <w:rsid w:val="00C73A1B"/>
    <w:rsid w:val="00C73AE4"/>
    <w:rsid w:val="00C73BC2"/>
    <w:rsid w:val="00C73DA4"/>
    <w:rsid w:val="00C73EB9"/>
    <w:rsid w:val="00C740E8"/>
    <w:rsid w:val="00C74151"/>
    <w:rsid w:val="00C745FF"/>
    <w:rsid w:val="00C74B06"/>
    <w:rsid w:val="00C74B1C"/>
    <w:rsid w:val="00C74E07"/>
    <w:rsid w:val="00C74F81"/>
    <w:rsid w:val="00C7513E"/>
    <w:rsid w:val="00C7521B"/>
    <w:rsid w:val="00C753CF"/>
    <w:rsid w:val="00C7577B"/>
    <w:rsid w:val="00C757D2"/>
    <w:rsid w:val="00C76229"/>
    <w:rsid w:val="00C763E6"/>
    <w:rsid w:val="00C76484"/>
    <w:rsid w:val="00C766EF"/>
    <w:rsid w:val="00C76A88"/>
    <w:rsid w:val="00C76D1A"/>
    <w:rsid w:val="00C76DA2"/>
    <w:rsid w:val="00C76DE5"/>
    <w:rsid w:val="00C76E0C"/>
    <w:rsid w:val="00C77002"/>
    <w:rsid w:val="00C77ECB"/>
    <w:rsid w:val="00C77F42"/>
    <w:rsid w:val="00C77F4D"/>
    <w:rsid w:val="00C77FAB"/>
    <w:rsid w:val="00C8003D"/>
    <w:rsid w:val="00C8025E"/>
    <w:rsid w:val="00C8062F"/>
    <w:rsid w:val="00C80760"/>
    <w:rsid w:val="00C80960"/>
    <w:rsid w:val="00C80A39"/>
    <w:rsid w:val="00C80B84"/>
    <w:rsid w:val="00C80E92"/>
    <w:rsid w:val="00C81112"/>
    <w:rsid w:val="00C811BB"/>
    <w:rsid w:val="00C814DE"/>
    <w:rsid w:val="00C814DF"/>
    <w:rsid w:val="00C815FC"/>
    <w:rsid w:val="00C81A2E"/>
    <w:rsid w:val="00C81BD7"/>
    <w:rsid w:val="00C81F40"/>
    <w:rsid w:val="00C82179"/>
    <w:rsid w:val="00C82214"/>
    <w:rsid w:val="00C82381"/>
    <w:rsid w:val="00C8242C"/>
    <w:rsid w:val="00C82503"/>
    <w:rsid w:val="00C82786"/>
    <w:rsid w:val="00C8280E"/>
    <w:rsid w:val="00C82FC1"/>
    <w:rsid w:val="00C8314E"/>
    <w:rsid w:val="00C835D1"/>
    <w:rsid w:val="00C83646"/>
    <w:rsid w:val="00C8364A"/>
    <w:rsid w:val="00C83780"/>
    <w:rsid w:val="00C838E0"/>
    <w:rsid w:val="00C83B64"/>
    <w:rsid w:val="00C83C13"/>
    <w:rsid w:val="00C83C78"/>
    <w:rsid w:val="00C84365"/>
    <w:rsid w:val="00C843E7"/>
    <w:rsid w:val="00C848C6"/>
    <w:rsid w:val="00C8503E"/>
    <w:rsid w:val="00C8505F"/>
    <w:rsid w:val="00C851DA"/>
    <w:rsid w:val="00C85510"/>
    <w:rsid w:val="00C85517"/>
    <w:rsid w:val="00C85D4C"/>
    <w:rsid w:val="00C85E36"/>
    <w:rsid w:val="00C85E48"/>
    <w:rsid w:val="00C867C5"/>
    <w:rsid w:val="00C868AA"/>
    <w:rsid w:val="00C86A01"/>
    <w:rsid w:val="00C86A5A"/>
    <w:rsid w:val="00C86C2A"/>
    <w:rsid w:val="00C87211"/>
    <w:rsid w:val="00C8755E"/>
    <w:rsid w:val="00C879C2"/>
    <w:rsid w:val="00C87C3C"/>
    <w:rsid w:val="00C87E2D"/>
    <w:rsid w:val="00C87EDD"/>
    <w:rsid w:val="00C900D2"/>
    <w:rsid w:val="00C90608"/>
    <w:rsid w:val="00C9065E"/>
    <w:rsid w:val="00C90A9B"/>
    <w:rsid w:val="00C91038"/>
    <w:rsid w:val="00C91170"/>
    <w:rsid w:val="00C91171"/>
    <w:rsid w:val="00C915A3"/>
    <w:rsid w:val="00C91EA8"/>
    <w:rsid w:val="00C91FB4"/>
    <w:rsid w:val="00C91FCB"/>
    <w:rsid w:val="00C92372"/>
    <w:rsid w:val="00C924D3"/>
    <w:rsid w:val="00C927CC"/>
    <w:rsid w:val="00C92A7E"/>
    <w:rsid w:val="00C92B61"/>
    <w:rsid w:val="00C92BC3"/>
    <w:rsid w:val="00C93330"/>
    <w:rsid w:val="00C933BC"/>
    <w:rsid w:val="00C93700"/>
    <w:rsid w:val="00C93952"/>
    <w:rsid w:val="00C93A69"/>
    <w:rsid w:val="00C93D0E"/>
    <w:rsid w:val="00C940D2"/>
    <w:rsid w:val="00C94201"/>
    <w:rsid w:val="00C94212"/>
    <w:rsid w:val="00C945C2"/>
    <w:rsid w:val="00C94A26"/>
    <w:rsid w:val="00C94A48"/>
    <w:rsid w:val="00C94CB6"/>
    <w:rsid w:val="00C94E67"/>
    <w:rsid w:val="00C94F72"/>
    <w:rsid w:val="00C956D6"/>
    <w:rsid w:val="00C95A45"/>
    <w:rsid w:val="00C95E45"/>
    <w:rsid w:val="00C95ED6"/>
    <w:rsid w:val="00C961CD"/>
    <w:rsid w:val="00C9621C"/>
    <w:rsid w:val="00C9621D"/>
    <w:rsid w:val="00C96B43"/>
    <w:rsid w:val="00C97122"/>
    <w:rsid w:val="00C9731C"/>
    <w:rsid w:val="00C97465"/>
    <w:rsid w:val="00C974BC"/>
    <w:rsid w:val="00C975F6"/>
    <w:rsid w:val="00C9764A"/>
    <w:rsid w:val="00C97794"/>
    <w:rsid w:val="00C97879"/>
    <w:rsid w:val="00C97E6A"/>
    <w:rsid w:val="00C97FFE"/>
    <w:rsid w:val="00CA0029"/>
    <w:rsid w:val="00CA0373"/>
    <w:rsid w:val="00CA0447"/>
    <w:rsid w:val="00CA0478"/>
    <w:rsid w:val="00CA0576"/>
    <w:rsid w:val="00CA062C"/>
    <w:rsid w:val="00CA0730"/>
    <w:rsid w:val="00CA098E"/>
    <w:rsid w:val="00CA1072"/>
    <w:rsid w:val="00CA148A"/>
    <w:rsid w:val="00CA1587"/>
    <w:rsid w:val="00CA1AF4"/>
    <w:rsid w:val="00CA20E7"/>
    <w:rsid w:val="00CA25A3"/>
    <w:rsid w:val="00CA25B6"/>
    <w:rsid w:val="00CA2890"/>
    <w:rsid w:val="00CA28AC"/>
    <w:rsid w:val="00CA2B83"/>
    <w:rsid w:val="00CA2DD3"/>
    <w:rsid w:val="00CA2F56"/>
    <w:rsid w:val="00CA31C4"/>
    <w:rsid w:val="00CA330B"/>
    <w:rsid w:val="00CA33D7"/>
    <w:rsid w:val="00CA351F"/>
    <w:rsid w:val="00CA3962"/>
    <w:rsid w:val="00CA3ACE"/>
    <w:rsid w:val="00CA3D49"/>
    <w:rsid w:val="00CA3DCB"/>
    <w:rsid w:val="00CA3FC7"/>
    <w:rsid w:val="00CA40B8"/>
    <w:rsid w:val="00CA4125"/>
    <w:rsid w:val="00CA41A1"/>
    <w:rsid w:val="00CA465D"/>
    <w:rsid w:val="00CA49BB"/>
    <w:rsid w:val="00CA4A3B"/>
    <w:rsid w:val="00CA4B1D"/>
    <w:rsid w:val="00CA4B52"/>
    <w:rsid w:val="00CA4B74"/>
    <w:rsid w:val="00CA4E32"/>
    <w:rsid w:val="00CA4F15"/>
    <w:rsid w:val="00CA5057"/>
    <w:rsid w:val="00CA57F4"/>
    <w:rsid w:val="00CA6C38"/>
    <w:rsid w:val="00CA6D1B"/>
    <w:rsid w:val="00CA7110"/>
    <w:rsid w:val="00CA7251"/>
    <w:rsid w:val="00CA745C"/>
    <w:rsid w:val="00CA7584"/>
    <w:rsid w:val="00CA76A2"/>
    <w:rsid w:val="00CA7A97"/>
    <w:rsid w:val="00CA7EB5"/>
    <w:rsid w:val="00CA7F95"/>
    <w:rsid w:val="00CB0143"/>
    <w:rsid w:val="00CB0574"/>
    <w:rsid w:val="00CB05CB"/>
    <w:rsid w:val="00CB0D6A"/>
    <w:rsid w:val="00CB0DEC"/>
    <w:rsid w:val="00CB0F37"/>
    <w:rsid w:val="00CB12EA"/>
    <w:rsid w:val="00CB144D"/>
    <w:rsid w:val="00CB166C"/>
    <w:rsid w:val="00CB1703"/>
    <w:rsid w:val="00CB177B"/>
    <w:rsid w:val="00CB1866"/>
    <w:rsid w:val="00CB1C22"/>
    <w:rsid w:val="00CB1CB2"/>
    <w:rsid w:val="00CB1CD3"/>
    <w:rsid w:val="00CB1DA8"/>
    <w:rsid w:val="00CB1F0A"/>
    <w:rsid w:val="00CB214C"/>
    <w:rsid w:val="00CB22AF"/>
    <w:rsid w:val="00CB2322"/>
    <w:rsid w:val="00CB26E9"/>
    <w:rsid w:val="00CB282D"/>
    <w:rsid w:val="00CB29D9"/>
    <w:rsid w:val="00CB2CFD"/>
    <w:rsid w:val="00CB2F20"/>
    <w:rsid w:val="00CB30DB"/>
    <w:rsid w:val="00CB3264"/>
    <w:rsid w:val="00CB362B"/>
    <w:rsid w:val="00CB3647"/>
    <w:rsid w:val="00CB365C"/>
    <w:rsid w:val="00CB3A38"/>
    <w:rsid w:val="00CB3BCC"/>
    <w:rsid w:val="00CB3F64"/>
    <w:rsid w:val="00CB44EF"/>
    <w:rsid w:val="00CB44FD"/>
    <w:rsid w:val="00CB4650"/>
    <w:rsid w:val="00CB48BB"/>
    <w:rsid w:val="00CB4AEC"/>
    <w:rsid w:val="00CB4C8B"/>
    <w:rsid w:val="00CB4D4E"/>
    <w:rsid w:val="00CB4E31"/>
    <w:rsid w:val="00CB4F26"/>
    <w:rsid w:val="00CB52F2"/>
    <w:rsid w:val="00CB550E"/>
    <w:rsid w:val="00CB5B39"/>
    <w:rsid w:val="00CB5C01"/>
    <w:rsid w:val="00CB5EB3"/>
    <w:rsid w:val="00CB5F63"/>
    <w:rsid w:val="00CB60B1"/>
    <w:rsid w:val="00CB6106"/>
    <w:rsid w:val="00CB6685"/>
    <w:rsid w:val="00CB68FF"/>
    <w:rsid w:val="00CB6966"/>
    <w:rsid w:val="00CB6B9F"/>
    <w:rsid w:val="00CB72DA"/>
    <w:rsid w:val="00CB759A"/>
    <w:rsid w:val="00CB7D3E"/>
    <w:rsid w:val="00CC018D"/>
    <w:rsid w:val="00CC06A2"/>
    <w:rsid w:val="00CC0720"/>
    <w:rsid w:val="00CC0A05"/>
    <w:rsid w:val="00CC0A2D"/>
    <w:rsid w:val="00CC0EB1"/>
    <w:rsid w:val="00CC1072"/>
    <w:rsid w:val="00CC11E8"/>
    <w:rsid w:val="00CC137D"/>
    <w:rsid w:val="00CC1621"/>
    <w:rsid w:val="00CC17A1"/>
    <w:rsid w:val="00CC1F1F"/>
    <w:rsid w:val="00CC266F"/>
    <w:rsid w:val="00CC2AE7"/>
    <w:rsid w:val="00CC2B47"/>
    <w:rsid w:val="00CC2C14"/>
    <w:rsid w:val="00CC2F4C"/>
    <w:rsid w:val="00CC328F"/>
    <w:rsid w:val="00CC34C6"/>
    <w:rsid w:val="00CC3ACA"/>
    <w:rsid w:val="00CC3D24"/>
    <w:rsid w:val="00CC3E96"/>
    <w:rsid w:val="00CC45AF"/>
    <w:rsid w:val="00CC45DC"/>
    <w:rsid w:val="00CC4866"/>
    <w:rsid w:val="00CC4925"/>
    <w:rsid w:val="00CC495F"/>
    <w:rsid w:val="00CC4AF2"/>
    <w:rsid w:val="00CC4B80"/>
    <w:rsid w:val="00CC4CB1"/>
    <w:rsid w:val="00CC5086"/>
    <w:rsid w:val="00CC5122"/>
    <w:rsid w:val="00CC514D"/>
    <w:rsid w:val="00CC5528"/>
    <w:rsid w:val="00CC5612"/>
    <w:rsid w:val="00CC584D"/>
    <w:rsid w:val="00CC5855"/>
    <w:rsid w:val="00CC5886"/>
    <w:rsid w:val="00CC59D4"/>
    <w:rsid w:val="00CC5A82"/>
    <w:rsid w:val="00CC5D86"/>
    <w:rsid w:val="00CC5E55"/>
    <w:rsid w:val="00CC6138"/>
    <w:rsid w:val="00CC6643"/>
    <w:rsid w:val="00CC66A8"/>
    <w:rsid w:val="00CC6A77"/>
    <w:rsid w:val="00CC6AA4"/>
    <w:rsid w:val="00CC6BDF"/>
    <w:rsid w:val="00CC6C23"/>
    <w:rsid w:val="00CC6E87"/>
    <w:rsid w:val="00CC6EAE"/>
    <w:rsid w:val="00CC720E"/>
    <w:rsid w:val="00CC7476"/>
    <w:rsid w:val="00CC75F7"/>
    <w:rsid w:val="00CC7670"/>
    <w:rsid w:val="00CC792C"/>
    <w:rsid w:val="00CC7D93"/>
    <w:rsid w:val="00CC7E2D"/>
    <w:rsid w:val="00CC7EE0"/>
    <w:rsid w:val="00CD0247"/>
    <w:rsid w:val="00CD036D"/>
    <w:rsid w:val="00CD09A0"/>
    <w:rsid w:val="00CD0C5B"/>
    <w:rsid w:val="00CD0CA0"/>
    <w:rsid w:val="00CD0CA2"/>
    <w:rsid w:val="00CD106C"/>
    <w:rsid w:val="00CD11DA"/>
    <w:rsid w:val="00CD1223"/>
    <w:rsid w:val="00CD128F"/>
    <w:rsid w:val="00CD14C1"/>
    <w:rsid w:val="00CD17EF"/>
    <w:rsid w:val="00CD1A84"/>
    <w:rsid w:val="00CD1B16"/>
    <w:rsid w:val="00CD1B62"/>
    <w:rsid w:val="00CD1D42"/>
    <w:rsid w:val="00CD1D93"/>
    <w:rsid w:val="00CD202F"/>
    <w:rsid w:val="00CD2075"/>
    <w:rsid w:val="00CD2C79"/>
    <w:rsid w:val="00CD2EEA"/>
    <w:rsid w:val="00CD330F"/>
    <w:rsid w:val="00CD371C"/>
    <w:rsid w:val="00CD3767"/>
    <w:rsid w:val="00CD3995"/>
    <w:rsid w:val="00CD3B2B"/>
    <w:rsid w:val="00CD3C6D"/>
    <w:rsid w:val="00CD4209"/>
    <w:rsid w:val="00CD44C6"/>
    <w:rsid w:val="00CD47E1"/>
    <w:rsid w:val="00CD4ACA"/>
    <w:rsid w:val="00CD4D72"/>
    <w:rsid w:val="00CD4E3B"/>
    <w:rsid w:val="00CD5288"/>
    <w:rsid w:val="00CD53A1"/>
    <w:rsid w:val="00CD5A85"/>
    <w:rsid w:val="00CD5C94"/>
    <w:rsid w:val="00CD5CA1"/>
    <w:rsid w:val="00CD5E7A"/>
    <w:rsid w:val="00CD610E"/>
    <w:rsid w:val="00CD618E"/>
    <w:rsid w:val="00CD6304"/>
    <w:rsid w:val="00CD6418"/>
    <w:rsid w:val="00CD642E"/>
    <w:rsid w:val="00CD6C48"/>
    <w:rsid w:val="00CD732F"/>
    <w:rsid w:val="00CD7422"/>
    <w:rsid w:val="00CD76EE"/>
    <w:rsid w:val="00CD783E"/>
    <w:rsid w:val="00CD7B6A"/>
    <w:rsid w:val="00CD7FBE"/>
    <w:rsid w:val="00CE0082"/>
    <w:rsid w:val="00CE0A58"/>
    <w:rsid w:val="00CE0D19"/>
    <w:rsid w:val="00CE0F3E"/>
    <w:rsid w:val="00CE103B"/>
    <w:rsid w:val="00CE10F6"/>
    <w:rsid w:val="00CE1197"/>
    <w:rsid w:val="00CE1385"/>
    <w:rsid w:val="00CE1392"/>
    <w:rsid w:val="00CE13AE"/>
    <w:rsid w:val="00CE1569"/>
    <w:rsid w:val="00CE1904"/>
    <w:rsid w:val="00CE1BEB"/>
    <w:rsid w:val="00CE1D46"/>
    <w:rsid w:val="00CE1DCE"/>
    <w:rsid w:val="00CE1DDD"/>
    <w:rsid w:val="00CE1E04"/>
    <w:rsid w:val="00CE1F48"/>
    <w:rsid w:val="00CE2301"/>
    <w:rsid w:val="00CE271C"/>
    <w:rsid w:val="00CE3261"/>
    <w:rsid w:val="00CE33B0"/>
    <w:rsid w:val="00CE347B"/>
    <w:rsid w:val="00CE39E0"/>
    <w:rsid w:val="00CE3A4B"/>
    <w:rsid w:val="00CE3DB7"/>
    <w:rsid w:val="00CE3EF2"/>
    <w:rsid w:val="00CE3FCA"/>
    <w:rsid w:val="00CE427E"/>
    <w:rsid w:val="00CE452C"/>
    <w:rsid w:val="00CE4991"/>
    <w:rsid w:val="00CE4D4A"/>
    <w:rsid w:val="00CE54A0"/>
    <w:rsid w:val="00CE5696"/>
    <w:rsid w:val="00CE5903"/>
    <w:rsid w:val="00CE5C13"/>
    <w:rsid w:val="00CE60BF"/>
    <w:rsid w:val="00CE60FB"/>
    <w:rsid w:val="00CE613E"/>
    <w:rsid w:val="00CE6310"/>
    <w:rsid w:val="00CE673A"/>
    <w:rsid w:val="00CE69B0"/>
    <w:rsid w:val="00CE6A07"/>
    <w:rsid w:val="00CE6A28"/>
    <w:rsid w:val="00CE6B12"/>
    <w:rsid w:val="00CE6C7A"/>
    <w:rsid w:val="00CE6EAE"/>
    <w:rsid w:val="00CE7088"/>
    <w:rsid w:val="00CE7591"/>
    <w:rsid w:val="00CE78AB"/>
    <w:rsid w:val="00CE7D5F"/>
    <w:rsid w:val="00CE7DB5"/>
    <w:rsid w:val="00CE7DC1"/>
    <w:rsid w:val="00CF005D"/>
    <w:rsid w:val="00CF014C"/>
    <w:rsid w:val="00CF0388"/>
    <w:rsid w:val="00CF0417"/>
    <w:rsid w:val="00CF065E"/>
    <w:rsid w:val="00CF08E5"/>
    <w:rsid w:val="00CF0A00"/>
    <w:rsid w:val="00CF0A18"/>
    <w:rsid w:val="00CF0CF3"/>
    <w:rsid w:val="00CF0D04"/>
    <w:rsid w:val="00CF0DE8"/>
    <w:rsid w:val="00CF1175"/>
    <w:rsid w:val="00CF12C1"/>
    <w:rsid w:val="00CF1481"/>
    <w:rsid w:val="00CF14A5"/>
    <w:rsid w:val="00CF1591"/>
    <w:rsid w:val="00CF17B6"/>
    <w:rsid w:val="00CF1841"/>
    <w:rsid w:val="00CF1FAF"/>
    <w:rsid w:val="00CF285E"/>
    <w:rsid w:val="00CF28F7"/>
    <w:rsid w:val="00CF2903"/>
    <w:rsid w:val="00CF2A8D"/>
    <w:rsid w:val="00CF2A8F"/>
    <w:rsid w:val="00CF2BC4"/>
    <w:rsid w:val="00CF2E65"/>
    <w:rsid w:val="00CF30D2"/>
    <w:rsid w:val="00CF32D4"/>
    <w:rsid w:val="00CF3540"/>
    <w:rsid w:val="00CF3997"/>
    <w:rsid w:val="00CF3BE2"/>
    <w:rsid w:val="00CF419E"/>
    <w:rsid w:val="00CF47EC"/>
    <w:rsid w:val="00CF4C56"/>
    <w:rsid w:val="00CF50CC"/>
    <w:rsid w:val="00CF51AC"/>
    <w:rsid w:val="00CF5239"/>
    <w:rsid w:val="00CF540A"/>
    <w:rsid w:val="00CF5652"/>
    <w:rsid w:val="00CF5BAC"/>
    <w:rsid w:val="00CF5CA5"/>
    <w:rsid w:val="00CF5D58"/>
    <w:rsid w:val="00CF5E70"/>
    <w:rsid w:val="00CF5E79"/>
    <w:rsid w:val="00CF5FAA"/>
    <w:rsid w:val="00CF607A"/>
    <w:rsid w:val="00CF6081"/>
    <w:rsid w:val="00CF620D"/>
    <w:rsid w:val="00CF631A"/>
    <w:rsid w:val="00CF63D2"/>
    <w:rsid w:val="00CF6A24"/>
    <w:rsid w:val="00CF6E0B"/>
    <w:rsid w:val="00CF7108"/>
    <w:rsid w:val="00CF7136"/>
    <w:rsid w:val="00CF72A4"/>
    <w:rsid w:val="00CF7461"/>
    <w:rsid w:val="00CF766E"/>
    <w:rsid w:val="00CF7892"/>
    <w:rsid w:val="00CF78D1"/>
    <w:rsid w:val="00CF7B32"/>
    <w:rsid w:val="00CF7C06"/>
    <w:rsid w:val="00CF7E37"/>
    <w:rsid w:val="00D000F8"/>
    <w:rsid w:val="00D00310"/>
    <w:rsid w:val="00D007A1"/>
    <w:rsid w:val="00D00A56"/>
    <w:rsid w:val="00D00B51"/>
    <w:rsid w:val="00D00FAA"/>
    <w:rsid w:val="00D0157A"/>
    <w:rsid w:val="00D01598"/>
    <w:rsid w:val="00D0165A"/>
    <w:rsid w:val="00D01930"/>
    <w:rsid w:val="00D01A66"/>
    <w:rsid w:val="00D01C32"/>
    <w:rsid w:val="00D01CB2"/>
    <w:rsid w:val="00D01CBA"/>
    <w:rsid w:val="00D01D35"/>
    <w:rsid w:val="00D02483"/>
    <w:rsid w:val="00D024C6"/>
    <w:rsid w:val="00D0252B"/>
    <w:rsid w:val="00D02668"/>
    <w:rsid w:val="00D02FBC"/>
    <w:rsid w:val="00D0323E"/>
    <w:rsid w:val="00D03B01"/>
    <w:rsid w:val="00D03ED7"/>
    <w:rsid w:val="00D03F41"/>
    <w:rsid w:val="00D048A1"/>
    <w:rsid w:val="00D04D1E"/>
    <w:rsid w:val="00D04F39"/>
    <w:rsid w:val="00D0504A"/>
    <w:rsid w:val="00D05230"/>
    <w:rsid w:val="00D052A1"/>
    <w:rsid w:val="00D0599B"/>
    <w:rsid w:val="00D05FCF"/>
    <w:rsid w:val="00D06004"/>
    <w:rsid w:val="00D063B8"/>
    <w:rsid w:val="00D06C61"/>
    <w:rsid w:val="00D06EE6"/>
    <w:rsid w:val="00D07634"/>
    <w:rsid w:val="00D076E8"/>
    <w:rsid w:val="00D0771C"/>
    <w:rsid w:val="00D07DF7"/>
    <w:rsid w:val="00D07E6D"/>
    <w:rsid w:val="00D07EE7"/>
    <w:rsid w:val="00D10130"/>
    <w:rsid w:val="00D1057C"/>
    <w:rsid w:val="00D10921"/>
    <w:rsid w:val="00D10B54"/>
    <w:rsid w:val="00D10CEC"/>
    <w:rsid w:val="00D10E61"/>
    <w:rsid w:val="00D10F3E"/>
    <w:rsid w:val="00D112A8"/>
    <w:rsid w:val="00D1170C"/>
    <w:rsid w:val="00D117FF"/>
    <w:rsid w:val="00D11B99"/>
    <w:rsid w:val="00D120CE"/>
    <w:rsid w:val="00D120F5"/>
    <w:rsid w:val="00D12623"/>
    <w:rsid w:val="00D12733"/>
    <w:rsid w:val="00D12AEE"/>
    <w:rsid w:val="00D13236"/>
    <w:rsid w:val="00D13851"/>
    <w:rsid w:val="00D13AE7"/>
    <w:rsid w:val="00D13BE1"/>
    <w:rsid w:val="00D13FB7"/>
    <w:rsid w:val="00D14022"/>
    <w:rsid w:val="00D14118"/>
    <w:rsid w:val="00D14230"/>
    <w:rsid w:val="00D14BD1"/>
    <w:rsid w:val="00D14C7B"/>
    <w:rsid w:val="00D14D37"/>
    <w:rsid w:val="00D15223"/>
    <w:rsid w:val="00D153C6"/>
    <w:rsid w:val="00D1543F"/>
    <w:rsid w:val="00D15674"/>
    <w:rsid w:val="00D157FA"/>
    <w:rsid w:val="00D15AC9"/>
    <w:rsid w:val="00D15B5D"/>
    <w:rsid w:val="00D15B5F"/>
    <w:rsid w:val="00D15C4C"/>
    <w:rsid w:val="00D15CEF"/>
    <w:rsid w:val="00D15DA7"/>
    <w:rsid w:val="00D15F9C"/>
    <w:rsid w:val="00D161C4"/>
    <w:rsid w:val="00D1649F"/>
    <w:rsid w:val="00D16669"/>
    <w:rsid w:val="00D1696D"/>
    <w:rsid w:val="00D16B3F"/>
    <w:rsid w:val="00D16C51"/>
    <w:rsid w:val="00D16CCA"/>
    <w:rsid w:val="00D16F4A"/>
    <w:rsid w:val="00D1737D"/>
    <w:rsid w:val="00D1750C"/>
    <w:rsid w:val="00D1795F"/>
    <w:rsid w:val="00D17990"/>
    <w:rsid w:val="00D201AE"/>
    <w:rsid w:val="00D20389"/>
    <w:rsid w:val="00D20675"/>
    <w:rsid w:val="00D20676"/>
    <w:rsid w:val="00D208CF"/>
    <w:rsid w:val="00D20A80"/>
    <w:rsid w:val="00D20ACA"/>
    <w:rsid w:val="00D20AED"/>
    <w:rsid w:val="00D211C6"/>
    <w:rsid w:val="00D213C6"/>
    <w:rsid w:val="00D2143C"/>
    <w:rsid w:val="00D22109"/>
    <w:rsid w:val="00D22149"/>
    <w:rsid w:val="00D2234B"/>
    <w:rsid w:val="00D22696"/>
    <w:rsid w:val="00D226A0"/>
    <w:rsid w:val="00D226F6"/>
    <w:rsid w:val="00D22BA8"/>
    <w:rsid w:val="00D2316E"/>
    <w:rsid w:val="00D237DE"/>
    <w:rsid w:val="00D23BD9"/>
    <w:rsid w:val="00D241E2"/>
    <w:rsid w:val="00D243B5"/>
    <w:rsid w:val="00D245AE"/>
    <w:rsid w:val="00D24628"/>
    <w:rsid w:val="00D2472A"/>
    <w:rsid w:val="00D24D31"/>
    <w:rsid w:val="00D24F8F"/>
    <w:rsid w:val="00D252B0"/>
    <w:rsid w:val="00D253C8"/>
    <w:rsid w:val="00D255A4"/>
    <w:rsid w:val="00D255A6"/>
    <w:rsid w:val="00D2594E"/>
    <w:rsid w:val="00D25CFD"/>
    <w:rsid w:val="00D2602F"/>
    <w:rsid w:val="00D26044"/>
    <w:rsid w:val="00D26387"/>
    <w:rsid w:val="00D263C0"/>
    <w:rsid w:val="00D26401"/>
    <w:rsid w:val="00D26897"/>
    <w:rsid w:val="00D268E0"/>
    <w:rsid w:val="00D269EF"/>
    <w:rsid w:val="00D26C04"/>
    <w:rsid w:val="00D26D7F"/>
    <w:rsid w:val="00D2762F"/>
    <w:rsid w:val="00D27866"/>
    <w:rsid w:val="00D27980"/>
    <w:rsid w:val="00D27F74"/>
    <w:rsid w:val="00D304B8"/>
    <w:rsid w:val="00D30A6D"/>
    <w:rsid w:val="00D30D11"/>
    <w:rsid w:val="00D30DD9"/>
    <w:rsid w:val="00D310CF"/>
    <w:rsid w:val="00D3178B"/>
    <w:rsid w:val="00D317B1"/>
    <w:rsid w:val="00D31B28"/>
    <w:rsid w:val="00D31BEF"/>
    <w:rsid w:val="00D3282A"/>
    <w:rsid w:val="00D3293F"/>
    <w:rsid w:val="00D32D09"/>
    <w:rsid w:val="00D33105"/>
    <w:rsid w:val="00D333B6"/>
    <w:rsid w:val="00D334EB"/>
    <w:rsid w:val="00D337CC"/>
    <w:rsid w:val="00D33909"/>
    <w:rsid w:val="00D33BE3"/>
    <w:rsid w:val="00D33DF0"/>
    <w:rsid w:val="00D33F3D"/>
    <w:rsid w:val="00D342E8"/>
    <w:rsid w:val="00D342F9"/>
    <w:rsid w:val="00D344D8"/>
    <w:rsid w:val="00D34682"/>
    <w:rsid w:val="00D34807"/>
    <w:rsid w:val="00D34811"/>
    <w:rsid w:val="00D34E3C"/>
    <w:rsid w:val="00D34F3B"/>
    <w:rsid w:val="00D3503E"/>
    <w:rsid w:val="00D350DB"/>
    <w:rsid w:val="00D35191"/>
    <w:rsid w:val="00D35627"/>
    <w:rsid w:val="00D359CC"/>
    <w:rsid w:val="00D35BDD"/>
    <w:rsid w:val="00D35C47"/>
    <w:rsid w:val="00D36152"/>
    <w:rsid w:val="00D36188"/>
    <w:rsid w:val="00D36384"/>
    <w:rsid w:val="00D363E6"/>
    <w:rsid w:val="00D365CD"/>
    <w:rsid w:val="00D368C7"/>
    <w:rsid w:val="00D36B4B"/>
    <w:rsid w:val="00D36CA8"/>
    <w:rsid w:val="00D36DC7"/>
    <w:rsid w:val="00D36DE8"/>
    <w:rsid w:val="00D37483"/>
    <w:rsid w:val="00D37527"/>
    <w:rsid w:val="00D37618"/>
    <w:rsid w:val="00D37B18"/>
    <w:rsid w:val="00D4034C"/>
    <w:rsid w:val="00D40486"/>
    <w:rsid w:val="00D4064E"/>
    <w:rsid w:val="00D40EDF"/>
    <w:rsid w:val="00D41040"/>
    <w:rsid w:val="00D4153A"/>
    <w:rsid w:val="00D41555"/>
    <w:rsid w:val="00D41596"/>
    <w:rsid w:val="00D4188B"/>
    <w:rsid w:val="00D41895"/>
    <w:rsid w:val="00D419FD"/>
    <w:rsid w:val="00D41B5B"/>
    <w:rsid w:val="00D41D4B"/>
    <w:rsid w:val="00D41EA5"/>
    <w:rsid w:val="00D41F7F"/>
    <w:rsid w:val="00D42093"/>
    <w:rsid w:val="00D42233"/>
    <w:rsid w:val="00D42500"/>
    <w:rsid w:val="00D4272F"/>
    <w:rsid w:val="00D42A10"/>
    <w:rsid w:val="00D42C48"/>
    <w:rsid w:val="00D42F48"/>
    <w:rsid w:val="00D43319"/>
    <w:rsid w:val="00D43401"/>
    <w:rsid w:val="00D434D9"/>
    <w:rsid w:val="00D4355D"/>
    <w:rsid w:val="00D43CC7"/>
    <w:rsid w:val="00D43DF2"/>
    <w:rsid w:val="00D440B5"/>
    <w:rsid w:val="00D44393"/>
    <w:rsid w:val="00D44A12"/>
    <w:rsid w:val="00D44BFB"/>
    <w:rsid w:val="00D44E0B"/>
    <w:rsid w:val="00D44F7C"/>
    <w:rsid w:val="00D450B9"/>
    <w:rsid w:val="00D45174"/>
    <w:rsid w:val="00D451FD"/>
    <w:rsid w:val="00D4574B"/>
    <w:rsid w:val="00D45D64"/>
    <w:rsid w:val="00D45D7D"/>
    <w:rsid w:val="00D45DFE"/>
    <w:rsid w:val="00D461DD"/>
    <w:rsid w:val="00D4637B"/>
    <w:rsid w:val="00D467E0"/>
    <w:rsid w:val="00D46838"/>
    <w:rsid w:val="00D46A7E"/>
    <w:rsid w:val="00D46CC5"/>
    <w:rsid w:val="00D46D93"/>
    <w:rsid w:val="00D46E09"/>
    <w:rsid w:val="00D46E39"/>
    <w:rsid w:val="00D46F95"/>
    <w:rsid w:val="00D47245"/>
    <w:rsid w:val="00D4752D"/>
    <w:rsid w:val="00D4783F"/>
    <w:rsid w:val="00D47A25"/>
    <w:rsid w:val="00D47ADF"/>
    <w:rsid w:val="00D50107"/>
    <w:rsid w:val="00D5020D"/>
    <w:rsid w:val="00D5029D"/>
    <w:rsid w:val="00D5056C"/>
    <w:rsid w:val="00D505F3"/>
    <w:rsid w:val="00D50822"/>
    <w:rsid w:val="00D50998"/>
    <w:rsid w:val="00D51020"/>
    <w:rsid w:val="00D51747"/>
    <w:rsid w:val="00D517AE"/>
    <w:rsid w:val="00D51870"/>
    <w:rsid w:val="00D51AD0"/>
    <w:rsid w:val="00D51B7B"/>
    <w:rsid w:val="00D51EAB"/>
    <w:rsid w:val="00D51FC9"/>
    <w:rsid w:val="00D52389"/>
    <w:rsid w:val="00D523F8"/>
    <w:rsid w:val="00D5260B"/>
    <w:rsid w:val="00D527EE"/>
    <w:rsid w:val="00D529C6"/>
    <w:rsid w:val="00D52A44"/>
    <w:rsid w:val="00D52BCB"/>
    <w:rsid w:val="00D52E12"/>
    <w:rsid w:val="00D52ED7"/>
    <w:rsid w:val="00D5312E"/>
    <w:rsid w:val="00D53B02"/>
    <w:rsid w:val="00D53E0D"/>
    <w:rsid w:val="00D53FB3"/>
    <w:rsid w:val="00D53FF2"/>
    <w:rsid w:val="00D541E7"/>
    <w:rsid w:val="00D5455F"/>
    <w:rsid w:val="00D547CD"/>
    <w:rsid w:val="00D5481E"/>
    <w:rsid w:val="00D54C21"/>
    <w:rsid w:val="00D54CEC"/>
    <w:rsid w:val="00D54D8B"/>
    <w:rsid w:val="00D54D8F"/>
    <w:rsid w:val="00D55155"/>
    <w:rsid w:val="00D55389"/>
    <w:rsid w:val="00D5568B"/>
    <w:rsid w:val="00D55B84"/>
    <w:rsid w:val="00D55EFC"/>
    <w:rsid w:val="00D561E5"/>
    <w:rsid w:val="00D562DF"/>
    <w:rsid w:val="00D564B8"/>
    <w:rsid w:val="00D564D7"/>
    <w:rsid w:val="00D56607"/>
    <w:rsid w:val="00D568AF"/>
    <w:rsid w:val="00D56C98"/>
    <w:rsid w:val="00D5739C"/>
    <w:rsid w:val="00D573D9"/>
    <w:rsid w:val="00D5771E"/>
    <w:rsid w:val="00D57748"/>
    <w:rsid w:val="00D5777B"/>
    <w:rsid w:val="00D57A7C"/>
    <w:rsid w:val="00D57A9D"/>
    <w:rsid w:val="00D57E09"/>
    <w:rsid w:val="00D57E26"/>
    <w:rsid w:val="00D57E7E"/>
    <w:rsid w:val="00D600FE"/>
    <w:rsid w:val="00D60249"/>
    <w:rsid w:val="00D602CA"/>
    <w:rsid w:val="00D60496"/>
    <w:rsid w:val="00D60701"/>
    <w:rsid w:val="00D60725"/>
    <w:rsid w:val="00D60942"/>
    <w:rsid w:val="00D60BF7"/>
    <w:rsid w:val="00D60D66"/>
    <w:rsid w:val="00D60FFD"/>
    <w:rsid w:val="00D611D2"/>
    <w:rsid w:val="00D61641"/>
    <w:rsid w:val="00D6196F"/>
    <w:rsid w:val="00D61B47"/>
    <w:rsid w:val="00D61BA7"/>
    <w:rsid w:val="00D61D34"/>
    <w:rsid w:val="00D620ED"/>
    <w:rsid w:val="00D62361"/>
    <w:rsid w:val="00D62710"/>
    <w:rsid w:val="00D62784"/>
    <w:rsid w:val="00D6279B"/>
    <w:rsid w:val="00D6283C"/>
    <w:rsid w:val="00D62C5D"/>
    <w:rsid w:val="00D62FF5"/>
    <w:rsid w:val="00D6300B"/>
    <w:rsid w:val="00D630B2"/>
    <w:rsid w:val="00D6328A"/>
    <w:rsid w:val="00D634FF"/>
    <w:rsid w:val="00D63814"/>
    <w:rsid w:val="00D63856"/>
    <w:rsid w:val="00D63943"/>
    <w:rsid w:val="00D63D07"/>
    <w:rsid w:val="00D63DAC"/>
    <w:rsid w:val="00D6420B"/>
    <w:rsid w:val="00D64320"/>
    <w:rsid w:val="00D64575"/>
    <w:rsid w:val="00D647D2"/>
    <w:rsid w:val="00D64C9B"/>
    <w:rsid w:val="00D64EF9"/>
    <w:rsid w:val="00D65091"/>
    <w:rsid w:val="00D651B6"/>
    <w:rsid w:val="00D65305"/>
    <w:rsid w:val="00D65414"/>
    <w:rsid w:val="00D657D9"/>
    <w:rsid w:val="00D658CC"/>
    <w:rsid w:val="00D659FC"/>
    <w:rsid w:val="00D65ABA"/>
    <w:rsid w:val="00D65CDF"/>
    <w:rsid w:val="00D65CF6"/>
    <w:rsid w:val="00D65F71"/>
    <w:rsid w:val="00D65FAA"/>
    <w:rsid w:val="00D66113"/>
    <w:rsid w:val="00D66129"/>
    <w:rsid w:val="00D66BC5"/>
    <w:rsid w:val="00D67094"/>
    <w:rsid w:val="00D672C1"/>
    <w:rsid w:val="00D672C2"/>
    <w:rsid w:val="00D675A4"/>
    <w:rsid w:val="00D67894"/>
    <w:rsid w:val="00D7013B"/>
    <w:rsid w:val="00D70188"/>
    <w:rsid w:val="00D70419"/>
    <w:rsid w:val="00D70584"/>
    <w:rsid w:val="00D70587"/>
    <w:rsid w:val="00D70991"/>
    <w:rsid w:val="00D70F17"/>
    <w:rsid w:val="00D71256"/>
    <w:rsid w:val="00D71492"/>
    <w:rsid w:val="00D715AD"/>
    <w:rsid w:val="00D715D2"/>
    <w:rsid w:val="00D71794"/>
    <w:rsid w:val="00D71826"/>
    <w:rsid w:val="00D71AB9"/>
    <w:rsid w:val="00D71BCF"/>
    <w:rsid w:val="00D71F12"/>
    <w:rsid w:val="00D71F49"/>
    <w:rsid w:val="00D720A9"/>
    <w:rsid w:val="00D722CC"/>
    <w:rsid w:val="00D7239D"/>
    <w:rsid w:val="00D72675"/>
    <w:rsid w:val="00D72929"/>
    <w:rsid w:val="00D72A21"/>
    <w:rsid w:val="00D72AC1"/>
    <w:rsid w:val="00D72B6D"/>
    <w:rsid w:val="00D72C6D"/>
    <w:rsid w:val="00D72CE8"/>
    <w:rsid w:val="00D72F4B"/>
    <w:rsid w:val="00D72FC3"/>
    <w:rsid w:val="00D73177"/>
    <w:rsid w:val="00D733D6"/>
    <w:rsid w:val="00D73687"/>
    <w:rsid w:val="00D7370E"/>
    <w:rsid w:val="00D73A4C"/>
    <w:rsid w:val="00D73B09"/>
    <w:rsid w:val="00D74049"/>
    <w:rsid w:val="00D74138"/>
    <w:rsid w:val="00D742AB"/>
    <w:rsid w:val="00D7443B"/>
    <w:rsid w:val="00D74517"/>
    <w:rsid w:val="00D7456E"/>
    <w:rsid w:val="00D7493C"/>
    <w:rsid w:val="00D74E9B"/>
    <w:rsid w:val="00D75457"/>
    <w:rsid w:val="00D755D2"/>
    <w:rsid w:val="00D7597E"/>
    <w:rsid w:val="00D759FD"/>
    <w:rsid w:val="00D75A1A"/>
    <w:rsid w:val="00D75C1B"/>
    <w:rsid w:val="00D75FB3"/>
    <w:rsid w:val="00D760F9"/>
    <w:rsid w:val="00D76202"/>
    <w:rsid w:val="00D76281"/>
    <w:rsid w:val="00D76372"/>
    <w:rsid w:val="00D76657"/>
    <w:rsid w:val="00D766F2"/>
    <w:rsid w:val="00D76CD0"/>
    <w:rsid w:val="00D76DB6"/>
    <w:rsid w:val="00D76E1F"/>
    <w:rsid w:val="00D76EE1"/>
    <w:rsid w:val="00D77783"/>
    <w:rsid w:val="00D77A09"/>
    <w:rsid w:val="00D77F9C"/>
    <w:rsid w:val="00D8009D"/>
    <w:rsid w:val="00D8069A"/>
    <w:rsid w:val="00D8084C"/>
    <w:rsid w:val="00D80C87"/>
    <w:rsid w:val="00D81195"/>
    <w:rsid w:val="00D811E9"/>
    <w:rsid w:val="00D81354"/>
    <w:rsid w:val="00D81431"/>
    <w:rsid w:val="00D81469"/>
    <w:rsid w:val="00D81912"/>
    <w:rsid w:val="00D81AEC"/>
    <w:rsid w:val="00D81F2F"/>
    <w:rsid w:val="00D82001"/>
    <w:rsid w:val="00D82160"/>
    <w:rsid w:val="00D822F0"/>
    <w:rsid w:val="00D823EB"/>
    <w:rsid w:val="00D8249B"/>
    <w:rsid w:val="00D8255D"/>
    <w:rsid w:val="00D8261A"/>
    <w:rsid w:val="00D828B0"/>
    <w:rsid w:val="00D82A9E"/>
    <w:rsid w:val="00D82AF2"/>
    <w:rsid w:val="00D82C84"/>
    <w:rsid w:val="00D83189"/>
    <w:rsid w:val="00D8347D"/>
    <w:rsid w:val="00D83ABC"/>
    <w:rsid w:val="00D83B85"/>
    <w:rsid w:val="00D83ED8"/>
    <w:rsid w:val="00D84073"/>
    <w:rsid w:val="00D84205"/>
    <w:rsid w:val="00D84278"/>
    <w:rsid w:val="00D8442D"/>
    <w:rsid w:val="00D84DCA"/>
    <w:rsid w:val="00D84E41"/>
    <w:rsid w:val="00D85025"/>
    <w:rsid w:val="00D850D0"/>
    <w:rsid w:val="00D85248"/>
    <w:rsid w:val="00D85EAA"/>
    <w:rsid w:val="00D85FB3"/>
    <w:rsid w:val="00D864DD"/>
    <w:rsid w:val="00D8654A"/>
    <w:rsid w:val="00D869EF"/>
    <w:rsid w:val="00D86EEE"/>
    <w:rsid w:val="00D8726E"/>
    <w:rsid w:val="00D87435"/>
    <w:rsid w:val="00D87B9A"/>
    <w:rsid w:val="00D87DD1"/>
    <w:rsid w:val="00D87E14"/>
    <w:rsid w:val="00D87FF4"/>
    <w:rsid w:val="00D90063"/>
    <w:rsid w:val="00D901AE"/>
    <w:rsid w:val="00D903D7"/>
    <w:rsid w:val="00D90930"/>
    <w:rsid w:val="00D90990"/>
    <w:rsid w:val="00D90AB5"/>
    <w:rsid w:val="00D90D48"/>
    <w:rsid w:val="00D90DD5"/>
    <w:rsid w:val="00D90ECF"/>
    <w:rsid w:val="00D9119A"/>
    <w:rsid w:val="00D91391"/>
    <w:rsid w:val="00D914CD"/>
    <w:rsid w:val="00D916F4"/>
    <w:rsid w:val="00D91A46"/>
    <w:rsid w:val="00D91DAF"/>
    <w:rsid w:val="00D91E1F"/>
    <w:rsid w:val="00D921FD"/>
    <w:rsid w:val="00D92328"/>
    <w:rsid w:val="00D927F2"/>
    <w:rsid w:val="00D92DF2"/>
    <w:rsid w:val="00D92FC3"/>
    <w:rsid w:val="00D9312F"/>
    <w:rsid w:val="00D9321E"/>
    <w:rsid w:val="00D93264"/>
    <w:rsid w:val="00D93274"/>
    <w:rsid w:val="00D93399"/>
    <w:rsid w:val="00D934FC"/>
    <w:rsid w:val="00D9383B"/>
    <w:rsid w:val="00D93978"/>
    <w:rsid w:val="00D93C63"/>
    <w:rsid w:val="00D94036"/>
    <w:rsid w:val="00D940D1"/>
    <w:rsid w:val="00D94373"/>
    <w:rsid w:val="00D946A0"/>
    <w:rsid w:val="00D9485E"/>
    <w:rsid w:val="00D94CDC"/>
    <w:rsid w:val="00D94FB0"/>
    <w:rsid w:val="00D95301"/>
    <w:rsid w:val="00D95664"/>
    <w:rsid w:val="00D95670"/>
    <w:rsid w:val="00D956AE"/>
    <w:rsid w:val="00D957C5"/>
    <w:rsid w:val="00D95820"/>
    <w:rsid w:val="00D95DD4"/>
    <w:rsid w:val="00D961AD"/>
    <w:rsid w:val="00D9643F"/>
    <w:rsid w:val="00D96740"/>
    <w:rsid w:val="00D96B14"/>
    <w:rsid w:val="00D96C90"/>
    <w:rsid w:val="00D96D76"/>
    <w:rsid w:val="00D96D95"/>
    <w:rsid w:val="00D971FC"/>
    <w:rsid w:val="00D9750F"/>
    <w:rsid w:val="00D978DE"/>
    <w:rsid w:val="00D97BE5"/>
    <w:rsid w:val="00D97D68"/>
    <w:rsid w:val="00DA023B"/>
    <w:rsid w:val="00DA0433"/>
    <w:rsid w:val="00DA043C"/>
    <w:rsid w:val="00DA06D0"/>
    <w:rsid w:val="00DA06FE"/>
    <w:rsid w:val="00DA08E3"/>
    <w:rsid w:val="00DA090F"/>
    <w:rsid w:val="00DA0BA1"/>
    <w:rsid w:val="00DA0C72"/>
    <w:rsid w:val="00DA0C9B"/>
    <w:rsid w:val="00DA0DD3"/>
    <w:rsid w:val="00DA0E25"/>
    <w:rsid w:val="00DA0EEC"/>
    <w:rsid w:val="00DA116A"/>
    <w:rsid w:val="00DA11A3"/>
    <w:rsid w:val="00DA18EC"/>
    <w:rsid w:val="00DA19D4"/>
    <w:rsid w:val="00DA1E0A"/>
    <w:rsid w:val="00DA1F0E"/>
    <w:rsid w:val="00DA21EA"/>
    <w:rsid w:val="00DA2664"/>
    <w:rsid w:val="00DA26CC"/>
    <w:rsid w:val="00DA2960"/>
    <w:rsid w:val="00DA29D7"/>
    <w:rsid w:val="00DA2D23"/>
    <w:rsid w:val="00DA2F03"/>
    <w:rsid w:val="00DA2FEB"/>
    <w:rsid w:val="00DA323E"/>
    <w:rsid w:val="00DA346B"/>
    <w:rsid w:val="00DA3479"/>
    <w:rsid w:val="00DA3538"/>
    <w:rsid w:val="00DA36DD"/>
    <w:rsid w:val="00DA39C6"/>
    <w:rsid w:val="00DA3A37"/>
    <w:rsid w:val="00DA3AA8"/>
    <w:rsid w:val="00DA3B74"/>
    <w:rsid w:val="00DA3BA3"/>
    <w:rsid w:val="00DA413F"/>
    <w:rsid w:val="00DA420E"/>
    <w:rsid w:val="00DA4406"/>
    <w:rsid w:val="00DA46FA"/>
    <w:rsid w:val="00DA482A"/>
    <w:rsid w:val="00DA4D63"/>
    <w:rsid w:val="00DA50A5"/>
    <w:rsid w:val="00DA5497"/>
    <w:rsid w:val="00DA56E8"/>
    <w:rsid w:val="00DA5DC9"/>
    <w:rsid w:val="00DA5ED0"/>
    <w:rsid w:val="00DA5F90"/>
    <w:rsid w:val="00DA5FF5"/>
    <w:rsid w:val="00DA6286"/>
    <w:rsid w:val="00DA635F"/>
    <w:rsid w:val="00DA6412"/>
    <w:rsid w:val="00DA683E"/>
    <w:rsid w:val="00DA68F0"/>
    <w:rsid w:val="00DA7CE7"/>
    <w:rsid w:val="00DA7F4B"/>
    <w:rsid w:val="00DB0028"/>
    <w:rsid w:val="00DB01A7"/>
    <w:rsid w:val="00DB04C4"/>
    <w:rsid w:val="00DB090E"/>
    <w:rsid w:val="00DB0A3D"/>
    <w:rsid w:val="00DB0A56"/>
    <w:rsid w:val="00DB0F58"/>
    <w:rsid w:val="00DB0F62"/>
    <w:rsid w:val="00DB13BE"/>
    <w:rsid w:val="00DB15C8"/>
    <w:rsid w:val="00DB164C"/>
    <w:rsid w:val="00DB1B92"/>
    <w:rsid w:val="00DB1BC2"/>
    <w:rsid w:val="00DB202E"/>
    <w:rsid w:val="00DB24EB"/>
    <w:rsid w:val="00DB26FE"/>
    <w:rsid w:val="00DB2850"/>
    <w:rsid w:val="00DB2BD2"/>
    <w:rsid w:val="00DB2EA4"/>
    <w:rsid w:val="00DB338C"/>
    <w:rsid w:val="00DB3654"/>
    <w:rsid w:val="00DB36AC"/>
    <w:rsid w:val="00DB3742"/>
    <w:rsid w:val="00DB3953"/>
    <w:rsid w:val="00DB3C9E"/>
    <w:rsid w:val="00DB3F2E"/>
    <w:rsid w:val="00DB3F6B"/>
    <w:rsid w:val="00DB430A"/>
    <w:rsid w:val="00DB43CE"/>
    <w:rsid w:val="00DB46F2"/>
    <w:rsid w:val="00DB5086"/>
    <w:rsid w:val="00DB518F"/>
    <w:rsid w:val="00DB526F"/>
    <w:rsid w:val="00DB58AE"/>
    <w:rsid w:val="00DB59B1"/>
    <w:rsid w:val="00DB59B8"/>
    <w:rsid w:val="00DB5CB4"/>
    <w:rsid w:val="00DB5F55"/>
    <w:rsid w:val="00DB5FB0"/>
    <w:rsid w:val="00DB647E"/>
    <w:rsid w:val="00DB6B2A"/>
    <w:rsid w:val="00DB75EE"/>
    <w:rsid w:val="00DB7DBF"/>
    <w:rsid w:val="00DB7DCC"/>
    <w:rsid w:val="00DB7E89"/>
    <w:rsid w:val="00DB7EFB"/>
    <w:rsid w:val="00DC02BB"/>
    <w:rsid w:val="00DC056A"/>
    <w:rsid w:val="00DC07AF"/>
    <w:rsid w:val="00DC07C6"/>
    <w:rsid w:val="00DC0C92"/>
    <w:rsid w:val="00DC16E8"/>
    <w:rsid w:val="00DC170F"/>
    <w:rsid w:val="00DC1D21"/>
    <w:rsid w:val="00DC1E81"/>
    <w:rsid w:val="00DC2374"/>
    <w:rsid w:val="00DC2821"/>
    <w:rsid w:val="00DC2831"/>
    <w:rsid w:val="00DC2DAB"/>
    <w:rsid w:val="00DC2E14"/>
    <w:rsid w:val="00DC3113"/>
    <w:rsid w:val="00DC33DF"/>
    <w:rsid w:val="00DC38D6"/>
    <w:rsid w:val="00DC39D6"/>
    <w:rsid w:val="00DC3E55"/>
    <w:rsid w:val="00DC4095"/>
    <w:rsid w:val="00DC4176"/>
    <w:rsid w:val="00DC41D3"/>
    <w:rsid w:val="00DC49BF"/>
    <w:rsid w:val="00DC4A8E"/>
    <w:rsid w:val="00DC4B67"/>
    <w:rsid w:val="00DC4F93"/>
    <w:rsid w:val="00DC54C3"/>
    <w:rsid w:val="00DC55C2"/>
    <w:rsid w:val="00DC567A"/>
    <w:rsid w:val="00DC598F"/>
    <w:rsid w:val="00DC5BAB"/>
    <w:rsid w:val="00DC5D36"/>
    <w:rsid w:val="00DC60BC"/>
    <w:rsid w:val="00DC620A"/>
    <w:rsid w:val="00DC645D"/>
    <w:rsid w:val="00DC6772"/>
    <w:rsid w:val="00DC68B4"/>
    <w:rsid w:val="00DC68C0"/>
    <w:rsid w:val="00DC6D10"/>
    <w:rsid w:val="00DC6DC6"/>
    <w:rsid w:val="00DC7207"/>
    <w:rsid w:val="00DC735E"/>
    <w:rsid w:val="00DC77A6"/>
    <w:rsid w:val="00DC7B0D"/>
    <w:rsid w:val="00DC7CF7"/>
    <w:rsid w:val="00DC7D9B"/>
    <w:rsid w:val="00DD001F"/>
    <w:rsid w:val="00DD00BC"/>
    <w:rsid w:val="00DD0153"/>
    <w:rsid w:val="00DD0C24"/>
    <w:rsid w:val="00DD0D63"/>
    <w:rsid w:val="00DD0EC7"/>
    <w:rsid w:val="00DD0FA7"/>
    <w:rsid w:val="00DD0FC9"/>
    <w:rsid w:val="00DD1291"/>
    <w:rsid w:val="00DD14EC"/>
    <w:rsid w:val="00DD1809"/>
    <w:rsid w:val="00DD1883"/>
    <w:rsid w:val="00DD19BB"/>
    <w:rsid w:val="00DD1D15"/>
    <w:rsid w:val="00DD1E74"/>
    <w:rsid w:val="00DD1F1F"/>
    <w:rsid w:val="00DD2016"/>
    <w:rsid w:val="00DD22B5"/>
    <w:rsid w:val="00DD249C"/>
    <w:rsid w:val="00DD28B0"/>
    <w:rsid w:val="00DD2A26"/>
    <w:rsid w:val="00DD3071"/>
    <w:rsid w:val="00DD34D8"/>
    <w:rsid w:val="00DD3965"/>
    <w:rsid w:val="00DD3E26"/>
    <w:rsid w:val="00DD3E66"/>
    <w:rsid w:val="00DD4225"/>
    <w:rsid w:val="00DD4358"/>
    <w:rsid w:val="00DD4701"/>
    <w:rsid w:val="00DD4AAE"/>
    <w:rsid w:val="00DD4BE5"/>
    <w:rsid w:val="00DD4F45"/>
    <w:rsid w:val="00DD50D5"/>
    <w:rsid w:val="00DD53B0"/>
    <w:rsid w:val="00DD592E"/>
    <w:rsid w:val="00DD5D74"/>
    <w:rsid w:val="00DD5DF1"/>
    <w:rsid w:val="00DD6128"/>
    <w:rsid w:val="00DD61BD"/>
    <w:rsid w:val="00DD65AB"/>
    <w:rsid w:val="00DD6639"/>
    <w:rsid w:val="00DD6845"/>
    <w:rsid w:val="00DD6941"/>
    <w:rsid w:val="00DD69B5"/>
    <w:rsid w:val="00DD6AF4"/>
    <w:rsid w:val="00DD6DE1"/>
    <w:rsid w:val="00DD79E1"/>
    <w:rsid w:val="00DD7C58"/>
    <w:rsid w:val="00DD7DE6"/>
    <w:rsid w:val="00DE00BF"/>
    <w:rsid w:val="00DE0246"/>
    <w:rsid w:val="00DE0325"/>
    <w:rsid w:val="00DE0573"/>
    <w:rsid w:val="00DE0C37"/>
    <w:rsid w:val="00DE0DF5"/>
    <w:rsid w:val="00DE1154"/>
    <w:rsid w:val="00DE15B6"/>
    <w:rsid w:val="00DE15F1"/>
    <w:rsid w:val="00DE1689"/>
    <w:rsid w:val="00DE1B28"/>
    <w:rsid w:val="00DE1C88"/>
    <w:rsid w:val="00DE2140"/>
    <w:rsid w:val="00DE23D7"/>
    <w:rsid w:val="00DE2956"/>
    <w:rsid w:val="00DE2BF5"/>
    <w:rsid w:val="00DE2C92"/>
    <w:rsid w:val="00DE31EF"/>
    <w:rsid w:val="00DE32AC"/>
    <w:rsid w:val="00DE3375"/>
    <w:rsid w:val="00DE342E"/>
    <w:rsid w:val="00DE36B9"/>
    <w:rsid w:val="00DE36D0"/>
    <w:rsid w:val="00DE3816"/>
    <w:rsid w:val="00DE38E7"/>
    <w:rsid w:val="00DE3CE8"/>
    <w:rsid w:val="00DE3E01"/>
    <w:rsid w:val="00DE406E"/>
    <w:rsid w:val="00DE4225"/>
    <w:rsid w:val="00DE437A"/>
    <w:rsid w:val="00DE4857"/>
    <w:rsid w:val="00DE48AB"/>
    <w:rsid w:val="00DE496D"/>
    <w:rsid w:val="00DE4AA1"/>
    <w:rsid w:val="00DE4C0D"/>
    <w:rsid w:val="00DE4C8A"/>
    <w:rsid w:val="00DE4DBE"/>
    <w:rsid w:val="00DE4FDB"/>
    <w:rsid w:val="00DE5102"/>
    <w:rsid w:val="00DE560B"/>
    <w:rsid w:val="00DE560E"/>
    <w:rsid w:val="00DE562B"/>
    <w:rsid w:val="00DE59AF"/>
    <w:rsid w:val="00DE5D14"/>
    <w:rsid w:val="00DE5D15"/>
    <w:rsid w:val="00DE5F50"/>
    <w:rsid w:val="00DE68B4"/>
    <w:rsid w:val="00DE6931"/>
    <w:rsid w:val="00DE69EC"/>
    <w:rsid w:val="00DE7121"/>
    <w:rsid w:val="00DE795A"/>
    <w:rsid w:val="00DE7984"/>
    <w:rsid w:val="00DE7C17"/>
    <w:rsid w:val="00DE7F88"/>
    <w:rsid w:val="00DF006B"/>
    <w:rsid w:val="00DF029B"/>
    <w:rsid w:val="00DF02DD"/>
    <w:rsid w:val="00DF074C"/>
    <w:rsid w:val="00DF09DF"/>
    <w:rsid w:val="00DF0DCF"/>
    <w:rsid w:val="00DF1523"/>
    <w:rsid w:val="00DF1C33"/>
    <w:rsid w:val="00DF2439"/>
    <w:rsid w:val="00DF2440"/>
    <w:rsid w:val="00DF2A61"/>
    <w:rsid w:val="00DF2DA7"/>
    <w:rsid w:val="00DF2E40"/>
    <w:rsid w:val="00DF2FA5"/>
    <w:rsid w:val="00DF3350"/>
    <w:rsid w:val="00DF36C1"/>
    <w:rsid w:val="00DF3B08"/>
    <w:rsid w:val="00DF3B2A"/>
    <w:rsid w:val="00DF4231"/>
    <w:rsid w:val="00DF448B"/>
    <w:rsid w:val="00DF46EA"/>
    <w:rsid w:val="00DF4A19"/>
    <w:rsid w:val="00DF4B66"/>
    <w:rsid w:val="00DF4C29"/>
    <w:rsid w:val="00DF50AD"/>
    <w:rsid w:val="00DF5214"/>
    <w:rsid w:val="00DF5529"/>
    <w:rsid w:val="00DF5662"/>
    <w:rsid w:val="00DF5A48"/>
    <w:rsid w:val="00DF5D07"/>
    <w:rsid w:val="00DF5D94"/>
    <w:rsid w:val="00DF5E51"/>
    <w:rsid w:val="00DF5EF7"/>
    <w:rsid w:val="00DF62C6"/>
    <w:rsid w:val="00DF6454"/>
    <w:rsid w:val="00DF64F1"/>
    <w:rsid w:val="00DF69EB"/>
    <w:rsid w:val="00DF72A4"/>
    <w:rsid w:val="00DF73F3"/>
    <w:rsid w:val="00DF75E2"/>
    <w:rsid w:val="00DF7974"/>
    <w:rsid w:val="00E003DB"/>
    <w:rsid w:val="00E0065A"/>
    <w:rsid w:val="00E01986"/>
    <w:rsid w:val="00E01AD1"/>
    <w:rsid w:val="00E01BAB"/>
    <w:rsid w:val="00E01BBD"/>
    <w:rsid w:val="00E02730"/>
    <w:rsid w:val="00E027D2"/>
    <w:rsid w:val="00E02AC9"/>
    <w:rsid w:val="00E02C7F"/>
    <w:rsid w:val="00E02F49"/>
    <w:rsid w:val="00E031CC"/>
    <w:rsid w:val="00E032D1"/>
    <w:rsid w:val="00E03DA8"/>
    <w:rsid w:val="00E0431B"/>
    <w:rsid w:val="00E04506"/>
    <w:rsid w:val="00E04711"/>
    <w:rsid w:val="00E0474A"/>
    <w:rsid w:val="00E04D4B"/>
    <w:rsid w:val="00E05465"/>
    <w:rsid w:val="00E0546B"/>
    <w:rsid w:val="00E0546E"/>
    <w:rsid w:val="00E06803"/>
    <w:rsid w:val="00E0686F"/>
    <w:rsid w:val="00E068CF"/>
    <w:rsid w:val="00E06D23"/>
    <w:rsid w:val="00E06D47"/>
    <w:rsid w:val="00E06EAB"/>
    <w:rsid w:val="00E07238"/>
    <w:rsid w:val="00E07401"/>
    <w:rsid w:val="00E07585"/>
    <w:rsid w:val="00E078A6"/>
    <w:rsid w:val="00E078FF"/>
    <w:rsid w:val="00E07E12"/>
    <w:rsid w:val="00E07E5B"/>
    <w:rsid w:val="00E07EDC"/>
    <w:rsid w:val="00E101EE"/>
    <w:rsid w:val="00E1060B"/>
    <w:rsid w:val="00E10A03"/>
    <w:rsid w:val="00E10B35"/>
    <w:rsid w:val="00E10E10"/>
    <w:rsid w:val="00E113DE"/>
    <w:rsid w:val="00E1144A"/>
    <w:rsid w:val="00E11500"/>
    <w:rsid w:val="00E115C7"/>
    <w:rsid w:val="00E116BE"/>
    <w:rsid w:val="00E11805"/>
    <w:rsid w:val="00E11B25"/>
    <w:rsid w:val="00E11FA5"/>
    <w:rsid w:val="00E12010"/>
    <w:rsid w:val="00E1205A"/>
    <w:rsid w:val="00E121C5"/>
    <w:rsid w:val="00E12250"/>
    <w:rsid w:val="00E125C2"/>
    <w:rsid w:val="00E125CE"/>
    <w:rsid w:val="00E127CB"/>
    <w:rsid w:val="00E12A28"/>
    <w:rsid w:val="00E12D4D"/>
    <w:rsid w:val="00E13409"/>
    <w:rsid w:val="00E13441"/>
    <w:rsid w:val="00E13456"/>
    <w:rsid w:val="00E139E9"/>
    <w:rsid w:val="00E13BF2"/>
    <w:rsid w:val="00E13E2F"/>
    <w:rsid w:val="00E13E74"/>
    <w:rsid w:val="00E14144"/>
    <w:rsid w:val="00E144EB"/>
    <w:rsid w:val="00E145EE"/>
    <w:rsid w:val="00E149DA"/>
    <w:rsid w:val="00E14A5E"/>
    <w:rsid w:val="00E14D4E"/>
    <w:rsid w:val="00E150A8"/>
    <w:rsid w:val="00E150C4"/>
    <w:rsid w:val="00E159BE"/>
    <w:rsid w:val="00E159FF"/>
    <w:rsid w:val="00E16127"/>
    <w:rsid w:val="00E168D4"/>
    <w:rsid w:val="00E16A54"/>
    <w:rsid w:val="00E16BD2"/>
    <w:rsid w:val="00E16C04"/>
    <w:rsid w:val="00E16D3D"/>
    <w:rsid w:val="00E16E02"/>
    <w:rsid w:val="00E16FBA"/>
    <w:rsid w:val="00E1717E"/>
    <w:rsid w:val="00E1762B"/>
    <w:rsid w:val="00E179C3"/>
    <w:rsid w:val="00E202B9"/>
    <w:rsid w:val="00E205C0"/>
    <w:rsid w:val="00E20C98"/>
    <w:rsid w:val="00E20F5E"/>
    <w:rsid w:val="00E211B8"/>
    <w:rsid w:val="00E213D0"/>
    <w:rsid w:val="00E21570"/>
    <w:rsid w:val="00E21691"/>
    <w:rsid w:val="00E21946"/>
    <w:rsid w:val="00E21B83"/>
    <w:rsid w:val="00E21BC7"/>
    <w:rsid w:val="00E21BE9"/>
    <w:rsid w:val="00E22072"/>
    <w:rsid w:val="00E22099"/>
    <w:rsid w:val="00E2209B"/>
    <w:rsid w:val="00E22460"/>
    <w:rsid w:val="00E22843"/>
    <w:rsid w:val="00E22F8D"/>
    <w:rsid w:val="00E23833"/>
    <w:rsid w:val="00E23C8C"/>
    <w:rsid w:val="00E23F4A"/>
    <w:rsid w:val="00E242B4"/>
    <w:rsid w:val="00E242C3"/>
    <w:rsid w:val="00E246BF"/>
    <w:rsid w:val="00E2470B"/>
    <w:rsid w:val="00E24DB5"/>
    <w:rsid w:val="00E24E81"/>
    <w:rsid w:val="00E24EC3"/>
    <w:rsid w:val="00E24FD3"/>
    <w:rsid w:val="00E25268"/>
    <w:rsid w:val="00E2539D"/>
    <w:rsid w:val="00E25AF6"/>
    <w:rsid w:val="00E25C12"/>
    <w:rsid w:val="00E25DBC"/>
    <w:rsid w:val="00E25E67"/>
    <w:rsid w:val="00E261AB"/>
    <w:rsid w:val="00E26667"/>
    <w:rsid w:val="00E2685A"/>
    <w:rsid w:val="00E268CB"/>
    <w:rsid w:val="00E26AE4"/>
    <w:rsid w:val="00E26DE2"/>
    <w:rsid w:val="00E26DF1"/>
    <w:rsid w:val="00E26F36"/>
    <w:rsid w:val="00E2700F"/>
    <w:rsid w:val="00E27104"/>
    <w:rsid w:val="00E2741D"/>
    <w:rsid w:val="00E27806"/>
    <w:rsid w:val="00E27A4E"/>
    <w:rsid w:val="00E27B2D"/>
    <w:rsid w:val="00E30308"/>
    <w:rsid w:val="00E304B7"/>
    <w:rsid w:val="00E30517"/>
    <w:rsid w:val="00E306A4"/>
    <w:rsid w:val="00E307FB"/>
    <w:rsid w:val="00E30C1D"/>
    <w:rsid w:val="00E30C23"/>
    <w:rsid w:val="00E30D06"/>
    <w:rsid w:val="00E30E52"/>
    <w:rsid w:val="00E30F85"/>
    <w:rsid w:val="00E319BC"/>
    <w:rsid w:val="00E31A7D"/>
    <w:rsid w:val="00E31CB2"/>
    <w:rsid w:val="00E31E09"/>
    <w:rsid w:val="00E320E4"/>
    <w:rsid w:val="00E3256E"/>
    <w:rsid w:val="00E3259D"/>
    <w:rsid w:val="00E325D3"/>
    <w:rsid w:val="00E32B11"/>
    <w:rsid w:val="00E32D7C"/>
    <w:rsid w:val="00E32DAB"/>
    <w:rsid w:val="00E32EE3"/>
    <w:rsid w:val="00E33129"/>
    <w:rsid w:val="00E33651"/>
    <w:rsid w:val="00E336C1"/>
    <w:rsid w:val="00E337B4"/>
    <w:rsid w:val="00E3393D"/>
    <w:rsid w:val="00E33EB3"/>
    <w:rsid w:val="00E33FE8"/>
    <w:rsid w:val="00E342DD"/>
    <w:rsid w:val="00E34392"/>
    <w:rsid w:val="00E34442"/>
    <w:rsid w:val="00E34A7C"/>
    <w:rsid w:val="00E34CE4"/>
    <w:rsid w:val="00E34EE8"/>
    <w:rsid w:val="00E34F17"/>
    <w:rsid w:val="00E35051"/>
    <w:rsid w:val="00E35243"/>
    <w:rsid w:val="00E35297"/>
    <w:rsid w:val="00E354EB"/>
    <w:rsid w:val="00E355ED"/>
    <w:rsid w:val="00E358CE"/>
    <w:rsid w:val="00E35AD5"/>
    <w:rsid w:val="00E35BFE"/>
    <w:rsid w:val="00E35F6E"/>
    <w:rsid w:val="00E35F81"/>
    <w:rsid w:val="00E362BA"/>
    <w:rsid w:val="00E36A8B"/>
    <w:rsid w:val="00E36C1A"/>
    <w:rsid w:val="00E36D9D"/>
    <w:rsid w:val="00E36F7B"/>
    <w:rsid w:val="00E37811"/>
    <w:rsid w:val="00E37A90"/>
    <w:rsid w:val="00E37C1C"/>
    <w:rsid w:val="00E37EDC"/>
    <w:rsid w:val="00E40502"/>
    <w:rsid w:val="00E40567"/>
    <w:rsid w:val="00E4057B"/>
    <w:rsid w:val="00E406AA"/>
    <w:rsid w:val="00E4087F"/>
    <w:rsid w:val="00E40A68"/>
    <w:rsid w:val="00E40BAF"/>
    <w:rsid w:val="00E40C5F"/>
    <w:rsid w:val="00E41006"/>
    <w:rsid w:val="00E41153"/>
    <w:rsid w:val="00E4157D"/>
    <w:rsid w:val="00E41650"/>
    <w:rsid w:val="00E41818"/>
    <w:rsid w:val="00E41902"/>
    <w:rsid w:val="00E41DD5"/>
    <w:rsid w:val="00E4217B"/>
    <w:rsid w:val="00E422EA"/>
    <w:rsid w:val="00E4246F"/>
    <w:rsid w:val="00E42560"/>
    <w:rsid w:val="00E42693"/>
    <w:rsid w:val="00E4283B"/>
    <w:rsid w:val="00E4299B"/>
    <w:rsid w:val="00E429AD"/>
    <w:rsid w:val="00E42AE0"/>
    <w:rsid w:val="00E42E7F"/>
    <w:rsid w:val="00E4304F"/>
    <w:rsid w:val="00E43118"/>
    <w:rsid w:val="00E434B4"/>
    <w:rsid w:val="00E4371C"/>
    <w:rsid w:val="00E43787"/>
    <w:rsid w:val="00E43B36"/>
    <w:rsid w:val="00E43BF8"/>
    <w:rsid w:val="00E44593"/>
    <w:rsid w:val="00E44602"/>
    <w:rsid w:val="00E44B7D"/>
    <w:rsid w:val="00E44C43"/>
    <w:rsid w:val="00E45094"/>
    <w:rsid w:val="00E45829"/>
    <w:rsid w:val="00E459C0"/>
    <w:rsid w:val="00E45FAA"/>
    <w:rsid w:val="00E45FB7"/>
    <w:rsid w:val="00E46182"/>
    <w:rsid w:val="00E46238"/>
    <w:rsid w:val="00E463CF"/>
    <w:rsid w:val="00E4656D"/>
    <w:rsid w:val="00E468C7"/>
    <w:rsid w:val="00E46C91"/>
    <w:rsid w:val="00E46D4E"/>
    <w:rsid w:val="00E47318"/>
    <w:rsid w:val="00E4745E"/>
    <w:rsid w:val="00E47477"/>
    <w:rsid w:val="00E4766F"/>
    <w:rsid w:val="00E476CC"/>
    <w:rsid w:val="00E4782F"/>
    <w:rsid w:val="00E47929"/>
    <w:rsid w:val="00E47B98"/>
    <w:rsid w:val="00E47ED6"/>
    <w:rsid w:val="00E50017"/>
    <w:rsid w:val="00E500CD"/>
    <w:rsid w:val="00E501CB"/>
    <w:rsid w:val="00E5031D"/>
    <w:rsid w:val="00E503CE"/>
    <w:rsid w:val="00E504D1"/>
    <w:rsid w:val="00E50790"/>
    <w:rsid w:val="00E50820"/>
    <w:rsid w:val="00E50ABA"/>
    <w:rsid w:val="00E50B8F"/>
    <w:rsid w:val="00E50EF3"/>
    <w:rsid w:val="00E50FAF"/>
    <w:rsid w:val="00E5112B"/>
    <w:rsid w:val="00E514AF"/>
    <w:rsid w:val="00E51ABD"/>
    <w:rsid w:val="00E51E11"/>
    <w:rsid w:val="00E51F7C"/>
    <w:rsid w:val="00E523A4"/>
    <w:rsid w:val="00E5252D"/>
    <w:rsid w:val="00E52532"/>
    <w:rsid w:val="00E527EA"/>
    <w:rsid w:val="00E527F0"/>
    <w:rsid w:val="00E52908"/>
    <w:rsid w:val="00E52993"/>
    <w:rsid w:val="00E529A9"/>
    <w:rsid w:val="00E52B5F"/>
    <w:rsid w:val="00E52BBB"/>
    <w:rsid w:val="00E52F12"/>
    <w:rsid w:val="00E5336B"/>
    <w:rsid w:val="00E533C1"/>
    <w:rsid w:val="00E533E0"/>
    <w:rsid w:val="00E538A7"/>
    <w:rsid w:val="00E539FE"/>
    <w:rsid w:val="00E53C91"/>
    <w:rsid w:val="00E53CAA"/>
    <w:rsid w:val="00E53F6E"/>
    <w:rsid w:val="00E54416"/>
    <w:rsid w:val="00E547FF"/>
    <w:rsid w:val="00E54AA2"/>
    <w:rsid w:val="00E54FE4"/>
    <w:rsid w:val="00E55AE6"/>
    <w:rsid w:val="00E55B72"/>
    <w:rsid w:val="00E55B99"/>
    <w:rsid w:val="00E55D58"/>
    <w:rsid w:val="00E5622C"/>
    <w:rsid w:val="00E564F6"/>
    <w:rsid w:val="00E5675D"/>
    <w:rsid w:val="00E56875"/>
    <w:rsid w:val="00E56A4B"/>
    <w:rsid w:val="00E56F22"/>
    <w:rsid w:val="00E572F1"/>
    <w:rsid w:val="00E57304"/>
    <w:rsid w:val="00E57470"/>
    <w:rsid w:val="00E577E1"/>
    <w:rsid w:val="00E5786A"/>
    <w:rsid w:val="00E57886"/>
    <w:rsid w:val="00E57BC0"/>
    <w:rsid w:val="00E57C76"/>
    <w:rsid w:val="00E57C7B"/>
    <w:rsid w:val="00E57D56"/>
    <w:rsid w:val="00E57D84"/>
    <w:rsid w:val="00E57E62"/>
    <w:rsid w:val="00E57FE4"/>
    <w:rsid w:val="00E600E5"/>
    <w:rsid w:val="00E6022D"/>
    <w:rsid w:val="00E602C1"/>
    <w:rsid w:val="00E602E2"/>
    <w:rsid w:val="00E6031E"/>
    <w:rsid w:val="00E6037B"/>
    <w:rsid w:val="00E606D9"/>
    <w:rsid w:val="00E60936"/>
    <w:rsid w:val="00E60996"/>
    <w:rsid w:val="00E60A0A"/>
    <w:rsid w:val="00E60C5E"/>
    <w:rsid w:val="00E60E45"/>
    <w:rsid w:val="00E60E62"/>
    <w:rsid w:val="00E61057"/>
    <w:rsid w:val="00E61216"/>
    <w:rsid w:val="00E61537"/>
    <w:rsid w:val="00E6161B"/>
    <w:rsid w:val="00E616D0"/>
    <w:rsid w:val="00E61870"/>
    <w:rsid w:val="00E61D1D"/>
    <w:rsid w:val="00E61EB7"/>
    <w:rsid w:val="00E62894"/>
    <w:rsid w:val="00E62AA7"/>
    <w:rsid w:val="00E62DC0"/>
    <w:rsid w:val="00E62F28"/>
    <w:rsid w:val="00E63898"/>
    <w:rsid w:val="00E639D5"/>
    <w:rsid w:val="00E63CA4"/>
    <w:rsid w:val="00E63CA6"/>
    <w:rsid w:val="00E63D90"/>
    <w:rsid w:val="00E64B81"/>
    <w:rsid w:val="00E64E3F"/>
    <w:rsid w:val="00E64EE8"/>
    <w:rsid w:val="00E65A78"/>
    <w:rsid w:val="00E65AAD"/>
    <w:rsid w:val="00E65FD8"/>
    <w:rsid w:val="00E66020"/>
    <w:rsid w:val="00E6675D"/>
    <w:rsid w:val="00E66B5F"/>
    <w:rsid w:val="00E66B71"/>
    <w:rsid w:val="00E66B98"/>
    <w:rsid w:val="00E66E51"/>
    <w:rsid w:val="00E670E2"/>
    <w:rsid w:val="00E678FF"/>
    <w:rsid w:val="00E67B65"/>
    <w:rsid w:val="00E700E7"/>
    <w:rsid w:val="00E7010C"/>
    <w:rsid w:val="00E701C6"/>
    <w:rsid w:val="00E7054D"/>
    <w:rsid w:val="00E706B5"/>
    <w:rsid w:val="00E70941"/>
    <w:rsid w:val="00E70A21"/>
    <w:rsid w:val="00E70AC6"/>
    <w:rsid w:val="00E70C82"/>
    <w:rsid w:val="00E70DEB"/>
    <w:rsid w:val="00E70E99"/>
    <w:rsid w:val="00E70F0A"/>
    <w:rsid w:val="00E70FB5"/>
    <w:rsid w:val="00E7113C"/>
    <w:rsid w:val="00E71454"/>
    <w:rsid w:val="00E714E1"/>
    <w:rsid w:val="00E7150A"/>
    <w:rsid w:val="00E7150C"/>
    <w:rsid w:val="00E71651"/>
    <w:rsid w:val="00E71C75"/>
    <w:rsid w:val="00E721B2"/>
    <w:rsid w:val="00E721B9"/>
    <w:rsid w:val="00E7220B"/>
    <w:rsid w:val="00E72355"/>
    <w:rsid w:val="00E724EA"/>
    <w:rsid w:val="00E7253F"/>
    <w:rsid w:val="00E72596"/>
    <w:rsid w:val="00E725F1"/>
    <w:rsid w:val="00E726D8"/>
    <w:rsid w:val="00E727C5"/>
    <w:rsid w:val="00E728A2"/>
    <w:rsid w:val="00E72B05"/>
    <w:rsid w:val="00E72F6E"/>
    <w:rsid w:val="00E73078"/>
    <w:rsid w:val="00E731B2"/>
    <w:rsid w:val="00E7337F"/>
    <w:rsid w:val="00E73594"/>
    <w:rsid w:val="00E736E8"/>
    <w:rsid w:val="00E73956"/>
    <w:rsid w:val="00E73A86"/>
    <w:rsid w:val="00E73B7C"/>
    <w:rsid w:val="00E73C99"/>
    <w:rsid w:val="00E743C2"/>
    <w:rsid w:val="00E745B2"/>
    <w:rsid w:val="00E745E8"/>
    <w:rsid w:val="00E749AB"/>
    <w:rsid w:val="00E7528B"/>
    <w:rsid w:val="00E75330"/>
    <w:rsid w:val="00E754F6"/>
    <w:rsid w:val="00E7580F"/>
    <w:rsid w:val="00E7581D"/>
    <w:rsid w:val="00E758B9"/>
    <w:rsid w:val="00E759E8"/>
    <w:rsid w:val="00E76428"/>
    <w:rsid w:val="00E764FD"/>
    <w:rsid w:val="00E76801"/>
    <w:rsid w:val="00E7685F"/>
    <w:rsid w:val="00E77098"/>
    <w:rsid w:val="00E77146"/>
    <w:rsid w:val="00E77294"/>
    <w:rsid w:val="00E7738F"/>
    <w:rsid w:val="00E7758B"/>
    <w:rsid w:val="00E775E1"/>
    <w:rsid w:val="00E775E4"/>
    <w:rsid w:val="00E776F8"/>
    <w:rsid w:val="00E80274"/>
    <w:rsid w:val="00E80325"/>
    <w:rsid w:val="00E804F3"/>
    <w:rsid w:val="00E805FB"/>
    <w:rsid w:val="00E80997"/>
    <w:rsid w:val="00E80ABC"/>
    <w:rsid w:val="00E80B66"/>
    <w:rsid w:val="00E80E10"/>
    <w:rsid w:val="00E80E7B"/>
    <w:rsid w:val="00E810D6"/>
    <w:rsid w:val="00E811F7"/>
    <w:rsid w:val="00E818C9"/>
    <w:rsid w:val="00E81913"/>
    <w:rsid w:val="00E81A7E"/>
    <w:rsid w:val="00E81BD2"/>
    <w:rsid w:val="00E82105"/>
    <w:rsid w:val="00E82129"/>
    <w:rsid w:val="00E821A9"/>
    <w:rsid w:val="00E82204"/>
    <w:rsid w:val="00E82373"/>
    <w:rsid w:val="00E823A9"/>
    <w:rsid w:val="00E82499"/>
    <w:rsid w:val="00E824E0"/>
    <w:rsid w:val="00E82787"/>
    <w:rsid w:val="00E82BB2"/>
    <w:rsid w:val="00E82E0F"/>
    <w:rsid w:val="00E82E7F"/>
    <w:rsid w:val="00E82ECE"/>
    <w:rsid w:val="00E83068"/>
    <w:rsid w:val="00E83249"/>
    <w:rsid w:val="00E83501"/>
    <w:rsid w:val="00E83611"/>
    <w:rsid w:val="00E839D2"/>
    <w:rsid w:val="00E83A9B"/>
    <w:rsid w:val="00E83ACC"/>
    <w:rsid w:val="00E83C3B"/>
    <w:rsid w:val="00E83C4E"/>
    <w:rsid w:val="00E843E2"/>
    <w:rsid w:val="00E84482"/>
    <w:rsid w:val="00E84509"/>
    <w:rsid w:val="00E849E0"/>
    <w:rsid w:val="00E84E93"/>
    <w:rsid w:val="00E85478"/>
    <w:rsid w:val="00E8574A"/>
    <w:rsid w:val="00E85A7B"/>
    <w:rsid w:val="00E86153"/>
    <w:rsid w:val="00E86879"/>
    <w:rsid w:val="00E86C2F"/>
    <w:rsid w:val="00E86C53"/>
    <w:rsid w:val="00E86D95"/>
    <w:rsid w:val="00E87032"/>
    <w:rsid w:val="00E87AAA"/>
    <w:rsid w:val="00E87AE6"/>
    <w:rsid w:val="00E90325"/>
    <w:rsid w:val="00E90584"/>
    <w:rsid w:val="00E908A3"/>
    <w:rsid w:val="00E90A59"/>
    <w:rsid w:val="00E90F41"/>
    <w:rsid w:val="00E90F96"/>
    <w:rsid w:val="00E9135F"/>
    <w:rsid w:val="00E913B6"/>
    <w:rsid w:val="00E91938"/>
    <w:rsid w:val="00E91C67"/>
    <w:rsid w:val="00E91DB2"/>
    <w:rsid w:val="00E91F74"/>
    <w:rsid w:val="00E91F97"/>
    <w:rsid w:val="00E92419"/>
    <w:rsid w:val="00E928F7"/>
    <w:rsid w:val="00E92AAF"/>
    <w:rsid w:val="00E92AC3"/>
    <w:rsid w:val="00E92BDC"/>
    <w:rsid w:val="00E93290"/>
    <w:rsid w:val="00E93BF5"/>
    <w:rsid w:val="00E940DE"/>
    <w:rsid w:val="00E94345"/>
    <w:rsid w:val="00E9461D"/>
    <w:rsid w:val="00E94A8F"/>
    <w:rsid w:val="00E94BF7"/>
    <w:rsid w:val="00E94CCD"/>
    <w:rsid w:val="00E95009"/>
    <w:rsid w:val="00E95111"/>
    <w:rsid w:val="00E953BA"/>
    <w:rsid w:val="00E9582F"/>
    <w:rsid w:val="00E95BD9"/>
    <w:rsid w:val="00E969B7"/>
    <w:rsid w:val="00E96B24"/>
    <w:rsid w:val="00E97114"/>
    <w:rsid w:val="00E97449"/>
    <w:rsid w:val="00E97EE0"/>
    <w:rsid w:val="00EA046D"/>
    <w:rsid w:val="00EA0EC9"/>
    <w:rsid w:val="00EA1532"/>
    <w:rsid w:val="00EA153A"/>
    <w:rsid w:val="00EA189C"/>
    <w:rsid w:val="00EA1A15"/>
    <w:rsid w:val="00EA1AF8"/>
    <w:rsid w:val="00EA1CA0"/>
    <w:rsid w:val="00EA1DE6"/>
    <w:rsid w:val="00EA1E88"/>
    <w:rsid w:val="00EA1FCF"/>
    <w:rsid w:val="00EA227A"/>
    <w:rsid w:val="00EA23FD"/>
    <w:rsid w:val="00EA2681"/>
    <w:rsid w:val="00EA287D"/>
    <w:rsid w:val="00EA291C"/>
    <w:rsid w:val="00EA29D5"/>
    <w:rsid w:val="00EA2A35"/>
    <w:rsid w:val="00EA300D"/>
    <w:rsid w:val="00EA316B"/>
    <w:rsid w:val="00EA3221"/>
    <w:rsid w:val="00EA3A57"/>
    <w:rsid w:val="00EA3B0D"/>
    <w:rsid w:val="00EA3D92"/>
    <w:rsid w:val="00EA4098"/>
    <w:rsid w:val="00EA41F6"/>
    <w:rsid w:val="00EA4330"/>
    <w:rsid w:val="00EA53FD"/>
    <w:rsid w:val="00EA561F"/>
    <w:rsid w:val="00EA5655"/>
    <w:rsid w:val="00EA5ABE"/>
    <w:rsid w:val="00EA5F73"/>
    <w:rsid w:val="00EA606C"/>
    <w:rsid w:val="00EA6245"/>
    <w:rsid w:val="00EA6252"/>
    <w:rsid w:val="00EA637B"/>
    <w:rsid w:val="00EA667F"/>
    <w:rsid w:val="00EA66FE"/>
    <w:rsid w:val="00EA67B8"/>
    <w:rsid w:val="00EA68F5"/>
    <w:rsid w:val="00EA6950"/>
    <w:rsid w:val="00EA6B60"/>
    <w:rsid w:val="00EA6C92"/>
    <w:rsid w:val="00EB0037"/>
    <w:rsid w:val="00EB0231"/>
    <w:rsid w:val="00EB02BD"/>
    <w:rsid w:val="00EB0840"/>
    <w:rsid w:val="00EB0865"/>
    <w:rsid w:val="00EB0A13"/>
    <w:rsid w:val="00EB0AB1"/>
    <w:rsid w:val="00EB0B3D"/>
    <w:rsid w:val="00EB0C9B"/>
    <w:rsid w:val="00EB0F36"/>
    <w:rsid w:val="00EB0F87"/>
    <w:rsid w:val="00EB1018"/>
    <w:rsid w:val="00EB16C7"/>
    <w:rsid w:val="00EB1961"/>
    <w:rsid w:val="00EB1E1D"/>
    <w:rsid w:val="00EB210D"/>
    <w:rsid w:val="00EB21D5"/>
    <w:rsid w:val="00EB239A"/>
    <w:rsid w:val="00EB2981"/>
    <w:rsid w:val="00EB2A8A"/>
    <w:rsid w:val="00EB2BD6"/>
    <w:rsid w:val="00EB3011"/>
    <w:rsid w:val="00EB3377"/>
    <w:rsid w:val="00EB35BA"/>
    <w:rsid w:val="00EB3677"/>
    <w:rsid w:val="00EB382E"/>
    <w:rsid w:val="00EB3AE7"/>
    <w:rsid w:val="00EB3E17"/>
    <w:rsid w:val="00EB3EF7"/>
    <w:rsid w:val="00EB4107"/>
    <w:rsid w:val="00EB455F"/>
    <w:rsid w:val="00EB4904"/>
    <w:rsid w:val="00EB4D38"/>
    <w:rsid w:val="00EB4DBE"/>
    <w:rsid w:val="00EB4E6B"/>
    <w:rsid w:val="00EB524B"/>
    <w:rsid w:val="00EB5767"/>
    <w:rsid w:val="00EB57D4"/>
    <w:rsid w:val="00EB5831"/>
    <w:rsid w:val="00EB5BCD"/>
    <w:rsid w:val="00EB5C69"/>
    <w:rsid w:val="00EB5D36"/>
    <w:rsid w:val="00EB5E52"/>
    <w:rsid w:val="00EB5F77"/>
    <w:rsid w:val="00EB6057"/>
    <w:rsid w:val="00EB6DAA"/>
    <w:rsid w:val="00EB6DAD"/>
    <w:rsid w:val="00EB6DFA"/>
    <w:rsid w:val="00EB6F91"/>
    <w:rsid w:val="00EB7069"/>
    <w:rsid w:val="00EB7362"/>
    <w:rsid w:val="00EB7570"/>
    <w:rsid w:val="00EB7615"/>
    <w:rsid w:val="00EB7920"/>
    <w:rsid w:val="00EB7B06"/>
    <w:rsid w:val="00EB7B9B"/>
    <w:rsid w:val="00EB7E74"/>
    <w:rsid w:val="00EC00AA"/>
    <w:rsid w:val="00EC0483"/>
    <w:rsid w:val="00EC070B"/>
    <w:rsid w:val="00EC08FE"/>
    <w:rsid w:val="00EC0968"/>
    <w:rsid w:val="00EC0A40"/>
    <w:rsid w:val="00EC0BFB"/>
    <w:rsid w:val="00EC101F"/>
    <w:rsid w:val="00EC1158"/>
    <w:rsid w:val="00EC14D7"/>
    <w:rsid w:val="00EC19AF"/>
    <w:rsid w:val="00EC1A22"/>
    <w:rsid w:val="00EC2AED"/>
    <w:rsid w:val="00EC2B1B"/>
    <w:rsid w:val="00EC2B83"/>
    <w:rsid w:val="00EC2CDC"/>
    <w:rsid w:val="00EC2DC3"/>
    <w:rsid w:val="00EC3109"/>
    <w:rsid w:val="00EC3366"/>
    <w:rsid w:val="00EC3578"/>
    <w:rsid w:val="00EC4026"/>
    <w:rsid w:val="00EC4125"/>
    <w:rsid w:val="00EC4A8F"/>
    <w:rsid w:val="00EC50D4"/>
    <w:rsid w:val="00EC548F"/>
    <w:rsid w:val="00EC5833"/>
    <w:rsid w:val="00EC5916"/>
    <w:rsid w:val="00EC5A1D"/>
    <w:rsid w:val="00EC6081"/>
    <w:rsid w:val="00EC6325"/>
    <w:rsid w:val="00EC6477"/>
    <w:rsid w:val="00EC6704"/>
    <w:rsid w:val="00EC6778"/>
    <w:rsid w:val="00EC6901"/>
    <w:rsid w:val="00EC6A13"/>
    <w:rsid w:val="00EC768B"/>
    <w:rsid w:val="00EC7721"/>
    <w:rsid w:val="00EC7C24"/>
    <w:rsid w:val="00EC7EB7"/>
    <w:rsid w:val="00EC7FB4"/>
    <w:rsid w:val="00ED0941"/>
    <w:rsid w:val="00ED0A51"/>
    <w:rsid w:val="00ED0DFC"/>
    <w:rsid w:val="00ED102F"/>
    <w:rsid w:val="00ED104A"/>
    <w:rsid w:val="00ED10A7"/>
    <w:rsid w:val="00ED1200"/>
    <w:rsid w:val="00ED18BB"/>
    <w:rsid w:val="00ED1B72"/>
    <w:rsid w:val="00ED1D2B"/>
    <w:rsid w:val="00ED1E94"/>
    <w:rsid w:val="00ED1EFA"/>
    <w:rsid w:val="00ED1FCE"/>
    <w:rsid w:val="00ED20E0"/>
    <w:rsid w:val="00ED212C"/>
    <w:rsid w:val="00ED239C"/>
    <w:rsid w:val="00ED23EE"/>
    <w:rsid w:val="00ED2574"/>
    <w:rsid w:val="00ED280C"/>
    <w:rsid w:val="00ED28E8"/>
    <w:rsid w:val="00ED2F32"/>
    <w:rsid w:val="00ED349A"/>
    <w:rsid w:val="00ED371F"/>
    <w:rsid w:val="00ED37E5"/>
    <w:rsid w:val="00ED3E33"/>
    <w:rsid w:val="00ED3F80"/>
    <w:rsid w:val="00ED4103"/>
    <w:rsid w:val="00ED422F"/>
    <w:rsid w:val="00ED4527"/>
    <w:rsid w:val="00ED4530"/>
    <w:rsid w:val="00ED4645"/>
    <w:rsid w:val="00ED4B36"/>
    <w:rsid w:val="00ED4C74"/>
    <w:rsid w:val="00ED4DA7"/>
    <w:rsid w:val="00ED4DCD"/>
    <w:rsid w:val="00ED56F5"/>
    <w:rsid w:val="00ED5710"/>
    <w:rsid w:val="00ED594E"/>
    <w:rsid w:val="00ED5B72"/>
    <w:rsid w:val="00ED5BEF"/>
    <w:rsid w:val="00ED61CA"/>
    <w:rsid w:val="00ED682C"/>
    <w:rsid w:val="00ED6894"/>
    <w:rsid w:val="00ED69E9"/>
    <w:rsid w:val="00ED6A11"/>
    <w:rsid w:val="00ED6B01"/>
    <w:rsid w:val="00ED6DD2"/>
    <w:rsid w:val="00ED6F49"/>
    <w:rsid w:val="00ED6FAE"/>
    <w:rsid w:val="00ED732F"/>
    <w:rsid w:val="00ED748A"/>
    <w:rsid w:val="00ED774B"/>
    <w:rsid w:val="00ED786E"/>
    <w:rsid w:val="00ED787F"/>
    <w:rsid w:val="00ED789B"/>
    <w:rsid w:val="00ED79A5"/>
    <w:rsid w:val="00EE0534"/>
    <w:rsid w:val="00EE08CD"/>
    <w:rsid w:val="00EE0993"/>
    <w:rsid w:val="00EE0B14"/>
    <w:rsid w:val="00EE0C6D"/>
    <w:rsid w:val="00EE0CB0"/>
    <w:rsid w:val="00EE0E05"/>
    <w:rsid w:val="00EE1183"/>
    <w:rsid w:val="00EE16CA"/>
    <w:rsid w:val="00EE1971"/>
    <w:rsid w:val="00EE248C"/>
    <w:rsid w:val="00EE2A0F"/>
    <w:rsid w:val="00EE3456"/>
    <w:rsid w:val="00EE3494"/>
    <w:rsid w:val="00EE34DA"/>
    <w:rsid w:val="00EE394C"/>
    <w:rsid w:val="00EE39BD"/>
    <w:rsid w:val="00EE39F3"/>
    <w:rsid w:val="00EE3A75"/>
    <w:rsid w:val="00EE3D3A"/>
    <w:rsid w:val="00EE3ECC"/>
    <w:rsid w:val="00EE5255"/>
    <w:rsid w:val="00EE539C"/>
    <w:rsid w:val="00EE54AE"/>
    <w:rsid w:val="00EE5ADC"/>
    <w:rsid w:val="00EE5AF8"/>
    <w:rsid w:val="00EE5CA2"/>
    <w:rsid w:val="00EE5CC4"/>
    <w:rsid w:val="00EE66E0"/>
    <w:rsid w:val="00EE6A79"/>
    <w:rsid w:val="00EE6D56"/>
    <w:rsid w:val="00EE6EE1"/>
    <w:rsid w:val="00EE6EF0"/>
    <w:rsid w:val="00EE74DF"/>
    <w:rsid w:val="00EE7620"/>
    <w:rsid w:val="00EE7693"/>
    <w:rsid w:val="00EE775E"/>
    <w:rsid w:val="00EE7969"/>
    <w:rsid w:val="00EE7C1A"/>
    <w:rsid w:val="00EE7FD5"/>
    <w:rsid w:val="00EF07BC"/>
    <w:rsid w:val="00EF0829"/>
    <w:rsid w:val="00EF0949"/>
    <w:rsid w:val="00EF0D36"/>
    <w:rsid w:val="00EF0FC3"/>
    <w:rsid w:val="00EF11C9"/>
    <w:rsid w:val="00EF1235"/>
    <w:rsid w:val="00EF128F"/>
    <w:rsid w:val="00EF16AB"/>
    <w:rsid w:val="00EF1CA9"/>
    <w:rsid w:val="00EF2052"/>
    <w:rsid w:val="00EF257A"/>
    <w:rsid w:val="00EF25A8"/>
    <w:rsid w:val="00EF2764"/>
    <w:rsid w:val="00EF2845"/>
    <w:rsid w:val="00EF2B19"/>
    <w:rsid w:val="00EF2B2F"/>
    <w:rsid w:val="00EF301D"/>
    <w:rsid w:val="00EF30DC"/>
    <w:rsid w:val="00EF324C"/>
    <w:rsid w:val="00EF3312"/>
    <w:rsid w:val="00EF3892"/>
    <w:rsid w:val="00EF3C09"/>
    <w:rsid w:val="00EF3ED2"/>
    <w:rsid w:val="00EF3F5E"/>
    <w:rsid w:val="00EF3FEE"/>
    <w:rsid w:val="00EF3FF7"/>
    <w:rsid w:val="00EF40B7"/>
    <w:rsid w:val="00EF46DB"/>
    <w:rsid w:val="00EF4800"/>
    <w:rsid w:val="00EF4826"/>
    <w:rsid w:val="00EF4896"/>
    <w:rsid w:val="00EF4FBD"/>
    <w:rsid w:val="00EF5132"/>
    <w:rsid w:val="00EF5260"/>
    <w:rsid w:val="00EF5501"/>
    <w:rsid w:val="00EF5720"/>
    <w:rsid w:val="00EF5881"/>
    <w:rsid w:val="00EF5FFB"/>
    <w:rsid w:val="00EF65DD"/>
    <w:rsid w:val="00EF6874"/>
    <w:rsid w:val="00EF687D"/>
    <w:rsid w:val="00EF6C14"/>
    <w:rsid w:val="00EF6E23"/>
    <w:rsid w:val="00EF6EDC"/>
    <w:rsid w:val="00EF6F26"/>
    <w:rsid w:val="00EF6F87"/>
    <w:rsid w:val="00EF7212"/>
    <w:rsid w:val="00EF74E3"/>
    <w:rsid w:val="00EF7642"/>
    <w:rsid w:val="00F0003B"/>
    <w:rsid w:val="00F00097"/>
    <w:rsid w:val="00F000BC"/>
    <w:rsid w:val="00F00105"/>
    <w:rsid w:val="00F005D9"/>
    <w:rsid w:val="00F00737"/>
    <w:rsid w:val="00F00D43"/>
    <w:rsid w:val="00F01295"/>
    <w:rsid w:val="00F0149B"/>
    <w:rsid w:val="00F01B5D"/>
    <w:rsid w:val="00F023DD"/>
    <w:rsid w:val="00F024EB"/>
    <w:rsid w:val="00F02B9B"/>
    <w:rsid w:val="00F02DD1"/>
    <w:rsid w:val="00F02F7A"/>
    <w:rsid w:val="00F02FF2"/>
    <w:rsid w:val="00F0302F"/>
    <w:rsid w:val="00F03753"/>
    <w:rsid w:val="00F037F1"/>
    <w:rsid w:val="00F037FE"/>
    <w:rsid w:val="00F03832"/>
    <w:rsid w:val="00F03B50"/>
    <w:rsid w:val="00F03C75"/>
    <w:rsid w:val="00F04CD7"/>
    <w:rsid w:val="00F05199"/>
    <w:rsid w:val="00F054C9"/>
    <w:rsid w:val="00F05615"/>
    <w:rsid w:val="00F05768"/>
    <w:rsid w:val="00F059C2"/>
    <w:rsid w:val="00F059D4"/>
    <w:rsid w:val="00F05B90"/>
    <w:rsid w:val="00F05E37"/>
    <w:rsid w:val="00F05EA1"/>
    <w:rsid w:val="00F06232"/>
    <w:rsid w:val="00F0627C"/>
    <w:rsid w:val="00F064BC"/>
    <w:rsid w:val="00F068D9"/>
    <w:rsid w:val="00F06C3F"/>
    <w:rsid w:val="00F06CF8"/>
    <w:rsid w:val="00F06F33"/>
    <w:rsid w:val="00F071B5"/>
    <w:rsid w:val="00F07368"/>
    <w:rsid w:val="00F0799B"/>
    <w:rsid w:val="00F07A35"/>
    <w:rsid w:val="00F07BBD"/>
    <w:rsid w:val="00F07C40"/>
    <w:rsid w:val="00F07E9E"/>
    <w:rsid w:val="00F100A8"/>
    <w:rsid w:val="00F10242"/>
    <w:rsid w:val="00F1074F"/>
    <w:rsid w:val="00F10775"/>
    <w:rsid w:val="00F1093C"/>
    <w:rsid w:val="00F10A1F"/>
    <w:rsid w:val="00F10A6C"/>
    <w:rsid w:val="00F10D04"/>
    <w:rsid w:val="00F10FB3"/>
    <w:rsid w:val="00F11B2D"/>
    <w:rsid w:val="00F11C06"/>
    <w:rsid w:val="00F11DC3"/>
    <w:rsid w:val="00F11E2F"/>
    <w:rsid w:val="00F11E31"/>
    <w:rsid w:val="00F11F7C"/>
    <w:rsid w:val="00F11F8F"/>
    <w:rsid w:val="00F12375"/>
    <w:rsid w:val="00F1237E"/>
    <w:rsid w:val="00F126AF"/>
    <w:rsid w:val="00F12AFA"/>
    <w:rsid w:val="00F12C7A"/>
    <w:rsid w:val="00F12CD3"/>
    <w:rsid w:val="00F12F1B"/>
    <w:rsid w:val="00F12FA5"/>
    <w:rsid w:val="00F1305D"/>
    <w:rsid w:val="00F1369F"/>
    <w:rsid w:val="00F139D6"/>
    <w:rsid w:val="00F139F9"/>
    <w:rsid w:val="00F13D90"/>
    <w:rsid w:val="00F14013"/>
    <w:rsid w:val="00F14373"/>
    <w:rsid w:val="00F1449E"/>
    <w:rsid w:val="00F1481E"/>
    <w:rsid w:val="00F14847"/>
    <w:rsid w:val="00F148C1"/>
    <w:rsid w:val="00F149E2"/>
    <w:rsid w:val="00F14D7B"/>
    <w:rsid w:val="00F15154"/>
    <w:rsid w:val="00F152DC"/>
    <w:rsid w:val="00F15820"/>
    <w:rsid w:val="00F15E82"/>
    <w:rsid w:val="00F15FDF"/>
    <w:rsid w:val="00F16164"/>
    <w:rsid w:val="00F163B1"/>
    <w:rsid w:val="00F16418"/>
    <w:rsid w:val="00F165CB"/>
    <w:rsid w:val="00F16786"/>
    <w:rsid w:val="00F16881"/>
    <w:rsid w:val="00F168CB"/>
    <w:rsid w:val="00F169F4"/>
    <w:rsid w:val="00F169F5"/>
    <w:rsid w:val="00F16DB2"/>
    <w:rsid w:val="00F172C5"/>
    <w:rsid w:val="00F175A8"/>
    <w:rsid w:val="00F17643"/>
    <w:rsid w:val="00F1797D"/>
    <w:rsid w:val="00F17EA3"/>
    <w:rsid w:val="00F17EF6"/>
    <w:rsid w:val="00F200A3"/>
    <w:rsid w:val="00F201AC"/>
    <w:rsid w:val="00F202E0"/>
    <w:rsid w:val="00F203ED"/>
    <w:rsid w:val="00F207D7"/>
    <w:rsid w:val="00F211F1"/>
    <w:rsid w:val="00F212DA"/>
    <w:rsid w:val="00F2146F"/>
    <w:rsid w:val="00F21600"/>
    <w:rsid w:val="00F21861"/>
    <w:rsid w:val="00F21CAB"/>
    <w:rsid w:val="00F21CCA"/>
    <w:rsid w:val="00F21E61"/>
    <w:rsid w:val="00F21F49"/>
    <w:rsid w:val="00F222B6"/>
    <w:rsid w:val="00F222BD"/>
    <w:rsid w:val="00F22360"/>
    <w:rsid w:val="00F22397"/>
    <w:rsid w:val="00F224AB"/>
    <w:rsid w:val="00F226F1"/>
    <w:rsid w:val="00F227B7"/>
    <w:rsid w:val="00F228EC"/>
    <w:rsid w:val="00F228F8"/>
    <w:rsid w:val="00F22910"/>
    <w:rsid w:val="00F22DAD"/>
    <w:rsid w:val="00F22DE9"/>
    <w:rsid w:val="00F23099"/>
    <w:rsid w:val="00F231B0"/>
    <w:rsid w:val="00F231CD"/>
    <w:rsid w:val="00F23548"/>
    <w:rsid w:val="00F2358D"/>
    <w:rsid w:val="00F23BAD"/>
    <w:rsid w:val="00F23C56"/>
    <w:rsid w:val="00F23D49"/>
    <w:rsid w:val="00F23DA2"/>
    <w:rsid w:val="00F23F28"/>
    <w:rsid w:val="00F24742"/>
    <w:rsid w:val="00F248D5"/>
    <w:rsid w:val="00F24945"/>
    <w:rsid w:val="00F25920"/>
    <w:rsid w:val="00F25F42"/>
    <w:rsid w:val="00F25F55"/>
    <w:rsid w:val="00F265A4"/>
    <w:rsid w:val="00F26879"/>
    <w:rsid w:val="00F26C8E"/>
    <w:rsid w:val="00F270B9"/>
    <w:rsid w:val="00F27200"/>
    <w:rsid w:val="00F27515"/>
    <w:rsid w:val="00F27956"/>
    <w:rsid w:val="00F27CC9"/>
    <w:rsid w:val="00F27FF4"/>
    <w:rsid w:val="00F301B9"/>
    <w:rsid w:val="00F303DD"/>
    <w:rsid w:val="00F3064C"/>
    <w:rsid w:val="00F307DA"/>
    <w:rsid w:val="00F30C03"/>
    <w:rsid w:val="00F30E0B"/>
    <w:rsid w:val="00F30F8B"/>
    <w:rsid w:val="00F31075"/>
    <w:rsid w:val="00F31206"/>
    <w:rsid w:val="00F312B7"/>
    <w:rsid w:val="00F31849"/>
    <w:rsid w:val="00F31BD1"/>
    <w:rsid w:val="00F31CCD"/>
    <w:rsid w:val="00F31CDB"/>
    <w:rsid w:val="00F31E4D"/>
    <w:rsid w:val="00F320AC"/>
    <w:rsid w:val="00F324CB"/>
    <w:rsid w:val="00F325A7"/>
    <w:rsid w:val="00F329A6"/>
    <w:rsid w:val="00F32B69"/>
    <w:rsid w:val="00F32BD6"/>
    <w:rsid w:val="00F33422"/>
    <w:rsid w:val="00F33FD9"/>
    <w:rsid w:val="00F3435D"/>
    <w:rsid w:val="00F3495F"/>
    <w:rsid w:val="00F34FA0"/>
    <w:rsid w:val="00F3518D"/>
    <w:rsid w:val="00F351CB"/>
    <w:rsid w:val="00F3529D"/>
    <w:rsid w:val="00F3550A"/>
    <w:rsid w:val="00F35952"/>
    <w:rsid w:val="00F359CA"/>
    <w:rsid w:val="00F35DCF"/>
    <w:rsid w:val="00F35DF0"/>
    <w:rsid w:val="00F35EED"/>
    <w:rsid w:val="00F35F78"/>
    <w:rsid w:val="00F361BF"/>
    <w:rsid w:val="00F362B2"/>
    <w:rsid w:val="00F362B4"/>
    <w:rsid w:val="00F362BB"/>
    <w:rsid w:val="00F366B3"/>
    <w:rsid w:val="00F36B0A"/>
    <w:rsid w:val="00F36DF7"/>
    <w:rsid w:val="00F37301"/>
    <w:rsid w:val="00F37772"/>
    <w:rsid w:val="00F3781A"/>
    <w:rsid w:val="00F379F9"/>
    <w:rsid w:val="00F37A39"/>
    <w:rsid w:val="00F37C4A"/>
    <w:rsid w:val="00F37CAB"/>
    <w:rsid w:val="00F37D7D"/>
    <w:rsid w:val="00F40038"/>
    <w:rsid w:val="00F407B8"/>
    <w:rsid w:val="00F4095C"/>
    <w:rsid w:val="00F40BB3"/>
    <w:rsid w:val="00F40E4A"/>
    <w:rsid w:val="00F41077"/>
    <w:rsid w:val="00F412B5"/>
    <w:rsid w:val="00F41539"/>
    <w:rsid w:val="00F4154E"/>
    <w:rsid w:val="00F4167F"/>
    <w:rsid w:val="00F41CEE"/>
    <w:rsid w:val="00F41E79"/>
    <w:rsid w:val="00F41F74"/>
    <w:rsid w:val="00F42685"/>
    <w:rsid w:val="00F429A6"/>
    <w:rsid w:val="00F42C28"/>
    <w:rsid w:val="00F42CAE"/>
    <w:rsid w:val="00F42D26"/>
    <w:rsid w:val="00F42FB6"/>
    <w:rsid w:val="00F4304E"/>
    <w:rsid w:val="00F4342A"/>
    <w:rsid w:val="00F4379C"/>
    <w:rsid w:val="00F43AF3"/>
    <w:rsid w:val="00F43C38"/>
    <w:rsid w:val="00F43E13"/>
    <w:rsid w:val="00F440F9"/>
    <w:rsid w:val="00F4421C"/>
    <w:rsid w:val="00F44701"/>
    <w:rsid w:val="00F4474C"/>
    <w:rsid w:val="00F4487D"/>
    <w:rsid w:val="00F44BFD"/>
    <w:rsid w:val="00F44C6A"/>
    <w:rsid w:val="00F44DD1"/>
    <w:rsid w:val="00F450B9"/>
    <w:rsid w:val="00F458E3"/>
    <w:rsid w:val="00F459B3"/>
    <w:rsid w:val="00F45B76"/>
    <w:rsid w:val="00F45F3D"/>
    <w:rsid w:val="00F460D7"/>
    <w:rsid w:val="00F46126"/>
    <w:rsid w:val="00F46232"/>
    <w:rsid w:val="00F462BA"/>
    <w:rsid w:val="00F463C6"/>
    <w:rsid w:val="00F466CB"/>
    <w:rsid w:val="00F46A70"/>
    <w:rsid w:val="00F46C1B"/>
    <w:rsid w:val="00F4714B"/>
    <w:rsid w:val="00F479AC"/>
    <w:rsid w:val="00F500E0"/>
    <w:rsid w:val="00F500EA"/>
    <w:rsid w:val="00F504F8"/>
    <w:rsid w:val="00F50515"/>
    <w:rsid w:val="00F505F5"/>
    <w:rsid w:val="00F50885"/>
    <w:rsid w:val="00F50CA4"/>
    <w:rsid w:val="00F50F9A"/>
    <w:rsid w:val="00F515A2"/>
    <w:rsid w:val="00F519D0"/>
    <w:rsid w:val="00F51A15"/>
    <w:rsid w:val="00F51C42"/>
    <w:rsid w:val="00F51C9F"/>
    <w:rsid w:val="00F51E0D"/>
    <w:rsid w:val="00F520BA"/>
    <w:rsid w:val="00F521F5"/>
    <w:rsid w:val="00F527A0"/>
    <w:rsid w:val="00F52C12"/>
    <w:rsid w:val="00F531F1"/>
    <w:rsid w:val="00F534F3"/>
    <w:rsid w:val="00F535CA"/>
    <w:rsid w:val="00F5379F"/>
    <w:rsid w:val="00F53D44"/>
    <w:rsid w:val="00F53EDE"/>
    <w:rsid w:val="00F54244"/>
    <w:rsid w:val="00F542B9"/>
    <w:rsid w:val="00F542D6"/>
    <w:rsid w:val="00F5449A"/>
    <w:rsid w:val="00F544DB"/>
    <w:rsid w:val="00F5457C"/>
    <w:rsid w:val="00F548D9"/>
    <w:rsid w:val="00F549CF"/>
    <w:rsid w:val="00F54B8A"/>
    <w:rsid w:val="00F54CE9"/>
    <w:rsid w:val="00F5502F"/>
    <w:rsid w:val="00F554CF"/>
    <w:rsid w:val="00F555BD"/>
    <w:rsid w:val="00F559BD"/>
    <w:rsid w:val="00F559EC"/>
    <w:rsid w:val="00F55B79"/>
    <w:rsid w:val="00F55C76"/>
    <w:rsid w:val="00F55FA5"/>
    <w:rsid w:val="00F56062"/>
    <w:rsid w:val="00F56716"/>
    <w:rsid w:val="00F56A0F"/>
    <w:rsid w:val="00F56D6A"/>
    <w:rsid w:val="00F573F0"/>
    <w:rsid w:val="00F5744B"/>
    <w:rsid w:val="00F574A6"/>
    <w:rsid w:val="00F57500"/>
    <w:rsid w:val="00F57517"/>
    <w:rsid w:val="00F57567"/>
    <w:rsid w:val="00F57575"/>
    <w:rsid w:val="00F57755"/>
    <w:rsid w:val="00F578B6"/>
    <w:rsid w:val="00F5796C"/>
    <w:rsid w:val="00F57AEB"/>
    <w:rsid w:val="00F57BB3"/>
    <w:rsid w:val="00F60007"/>
    <w:rsid w:val="00F6018D"/>
    <w:rsid w:val="00F601F4"/>
    <w:rsid w:val="00F6076E"/>
    <w:rsid w:val="00F60DB1"/>
    <w:rsid w:val="00F60E3B"/>
    <w:rsid w:val="00F610A1"/>
    <w:rsid w:val="00F6110C"/>
    <w:rsid w:val="00F61233"/>
    <w:rsid w:val="00F61252"/>
    <w:rsid w:val="00F6143B"/>
    <w:rsid w:val="00F61654"/>
    <w:rsid w:val="00F61B88"/>
    <w:rsid w:val="00F61C1C"/>
    <w:rsid w:val="00F61D62"/>
    <w:rsid w:val="00F61F1D"/>
    <w:rsid w:val="00F61F59"/>
    <w:rsid w:val="00F6203D"/>
    <w:rsid w:val="00F62132"/>
    <w:rsid w:val="00F62654"/>
    <w:rsid w:val="00F62741"/>
    <w:rsid w:val="00F62980"/>
    <w:rsid w:val="00F62BFA"/>
    <w:rsid w:val="00F62E1D"/>
    <w:rsid w:val="00F62E47"/>
    <w:rsid w:val="00F62F57"/>
    <w:rsid w:val="00F637CA"/>
    <w:rsid w:val="00F6396B"/>
    <w:rsid w:val="00F63974"/>
    <w:rsid w:val="00F63A73"/>
    <w:rsid w:val="00F63B4B"/>
    <w:rsid w:val="00F63BDD"/>
    <w:rsid w:val="00F63DD2"/>
    <w:rsid w:val="00F63FEB"/>
    <w:rsid w:val="00F640D8"/>
    <w:rsid w:val="00F64223"/>
    <w:rsid w:val="00F644FD"/>
    <w:rsid w:val="00F644FE"/>
    <w:rsid w:val="00F64EC7"/>
    <w:rsid w:val="00F656DD"/>
    <w:rsid w:val="00F65749"/>
    <w:rsid w:val="00F657B7"/>
    <w:rsid w:val="00F657E2"/>
    <w:rsid w:val="00F658F2"/>
    <w:rsid w:val="00F65D26"/>
    <w:rsid w:val="00F6645D"/>
    <w:rsid w:val="00F66600"/>
    <w:rsid w:val="00F66667"/>
    <w:rsid w:val="00F66807"/>
    <w:rsid w:val="00F6687B"/>
    <w:rsid w:val="00F6708F"/>
    <w:rsid w:val="00F67398"/>
    <w:rsid w:val="00F67900"/>
    <w:rsid w:val="00F67C94"/>
    <w:rsid w:val="00F67CB1"/>
    <w:rsid w:val="00F70010"/>
    <w:rsid w:val="00F704F7"/>
    <w:rsid w:val="00F705EF"/>
    <w:rsid w:val="00F70714"/>
    <w:rsid w:val="00F70749"/>
    <w:rsid w:val="00F707F3"/>
    <w:rsid w:val="00F70AAF"/>
    <w:rsid w:val="00F711BB"/>
    <w:rsid w:val="00F713B0"/>
    <w:rsid w:val="00F71624"/>
    <w:rsid w:val="00F717B5"/>
    <w:rsid w:val="00F718EC"/>
    <w:rsid w:val="00F71B11"/>
    <w:rsid w:val="00F71F58"/>
    <w:rsid w:val="00F720BA"/>
    <w:rsid w:val="00F72108"/>
    <w:rsid w:val="00F7232D"/>
    <w:rsid w:val="00F7242F"/>
    <w:rsid w:val="00F72480"/>
    <w:rsid w:val="00F727A5"/>
    <w:rsid w:val="00F7283E"/>
    <w:rsid w:val="00F72C97"/>
    <w:rsid w:val="00F72D8E"/>
    <w:rsid w:val="00F72DFC"/>
    <w:rsid w:val="00F733A0"/>
    <w:rsid w:val="00F73403"/>
    <w:rsid w:val="00F73C46"/>
    <w:rsid w:val="00F73E96"/>
    <w:rsid w:val="00F73ECE"/>
    <w:rsid w:val="00F73FD9"/>
    <w:rsid w:val="00F74341"/>
    <w:rsid w:val="00F7456C"/>
    <w:rsid w:val="00F74677"/>
    <w:rsid w:val="00F74863"/>
    <w:rsid w:val="00F748CC"/>
    <w:rsid w:val="00F74965"/>
    <w:rsid w:val="00F74A4B"/>
    <w:rsid w:val="00F74EB8"/>
    <w:rsid w:val="00F750BE"/>
    <w:rsid w:val="00F75288"/>
    <w:rsid w:val="00F753DC"/>
    <w:rsid w:val="00F75A95"/>
    <w:rsid w:val="00F75DC6"/>
    <w:rsid w:val="00F75EAD"/>
    <w:rsid w:val="00F75F54"/>
    <w:rsid w:val="00F761C5"/>
    <w:rsid w:val="00F7639A"/>
    <w:rsid w:val="00F76550"/>
    <w:rsid w:val="00F766B0"/>
    <w:rsid w:val="00F766FB"/>
    <w:rsid w:val="00F76C23"/>
    <w:rsid w:val="00F76F37"/>
    <w:rsid w:val="00F770DE"/>
    <w:rsid w:val="00F7725A"/>
    <w:rsid w:val="00F77462"/>
    <w:rsid w:val="00F774C5"/>
    <w:rsid w:val="00F7752F"/>
    <w:rsid w:val="00F7778D"/>
    <w:rsid w:val="00F80106"/>
    <w:rsid w:val="00F803E0"/>
    <w:rsid w:val="00F803E7"/>
    <w:rsid w:val="00F804BE"/>
    <w:rsid w:val="00F808D1"/>
    <w:rsid w:val="00F80CE4"/>
    <w:rsid w:val="00F810DF"/>
    <w:rsid w:val="00F8117F"/>
    <w:rsid w:val="00F817C6"/>
    <w:rsid w:val="00F818EE"/>
    <w:rsid w:val="00F81A29"/>
    <w:rsid w:val="00F81D28"/>
    <w:rsid w:val="00F8201A"/>
    <w:rsid w:val="00F828EC"/>
    <w:rsid w:val="00F82D91"/>
    <w:rsid w:val="00F83167"/>
    <w:rsid w:val="00F834A4"/>
    <w:rsid w:val="00F839EC"/>
    <w:rsid w:val="00F840C5"/>
    <w:rsid w:val="00F8425C"/>
    <w:rsid w:val="00F844E6"/>
    <w:rsid w:val="00F84541"/>
    <w:rsid w:val="00F846C9"/>
    <w:rsid w:val="00F847C5"/>
    <w:rsid w:val="00F84CFC"/>
    <w:rsid w:val="00F84E84"/>
    <w:rsid w:val="00F85559"/>
    <w:rsid w:val="00F857F2"/>
    <w:rsid w:val="00F85A66"/>
    <w:rsid w:val="00F86036"/>
    <w:rsid w:val="00F86624"/>
    <w:rsid w:val="00F869EB"/>
    <w:rsid w:val="00F86B2C"/>
    <w:rsid w:val="00F86F2B"/>
    <w:rsid w:val="00F87720"/>
    <w:rsid w:val="00F878D6"/>
    <w:rsid w:val="00F87B09"/>
    <w:rsid w:val="00F87C34"/>
    <w:rsid w:val="00F900E8"/>
    <w:rsid w:val="00F90166"/>
    <w:rsid w:val="00F903F6"/>
    <w:rsid w:val="00F9046A"/>
    <w:rsid w:val="00F904D3"/>
    <w:rsid w:val="00F90613"/>
    <w:rsid w:val="00F9064D"/>
    <w:rsid w:val="00F906A9"/>
    <w:rsid w:val="00F9075E"/>
    <w:rsid w:val="00F909A6"/>
    <w:rsid w:val="00F910AD"/>
    <w:rsid w:val="00F9119A"/>
    <w:rsid w:val="00F91341"/>
    <w:rsid w:val="00F9134A"/>
    <w:rsid w:val="00F917C2"/>
    <w:rsid w:val="00F9180D"/>
    <w:rsid w:val="00F9186A"/>
    <w:rsid w:val="00F91B8E"/>
    <w:rsid w:val="00F91EDE"/>
    <w:rsid w:val="00F92164"/>
    <w:rsid w:val="00F92166"/>
    <w:rsid w:val="00F9247C"/>
    <w:rsid w:val="00F9257C"/>
    <w:rsid w:val="00F92BE0"/>
    <w:rsid w:val="00F92DD0"/>
    <w:rsid w:val="00F92FDD"/>
    <w:rsid w:val="00F93157"/>
    <w:rsid w:val="00F933C6"/>
    <w:rsid w:val="00F93B04"/>
    <w:rsid w:val="00F940CE"/>
    <w:rsid w:val="00F94288"/>
    <w:rsid w:val="00F94622"/>
    <w:rsid w:val="00F947F2"/>
    <w:rsid w:val="00F9496C"/>
    <w:rsid w:val="00F94B39"/>
    <w:rsid w:val="00F95540"/>
    <w:rsid w:val="00F95541"/>
    <w:rsid w:val="00F958DF"/>
    <w:rsid w:val="00F961D4"/>
    <w:rsid w:val="00F96814"/>
    <w:rsid w:val="00F96930"/>
    <w:rsid w:val="00F96AE7"/>
    <w:rsid w:val="00F96CA4"/>
    <w:rsid w:val="00F96DA6"/>
    <w:rsid w:val="00F96F0E"/>
    <w:rsid w:val="00F96F2A"/>
    <w:rsid w:val="00F970FC"/>
    <w:rsid w:val="00F97379"/>
    <w:rsid w:val="00F97394"/>
    <w:rsid w:val="00F9756A"/>
    <w:rsid w:val="00F97754"/>
    <w:rsid w:val="00F97EDB"/>
    <w:rsid w:val="00FA00DA"/>
    <w:rsid w:val="00FA0309"/>
    <w:rsid w:val="00FA0531"/>
    <w:rsid w:val="00FA09BB"/>
    <w:rsid w:val="00FA0BFA"/>
    <w:rsid w:val="00FA0D32"/>
    <w:rsid w:val="00FA1057"/>
    <w:rsid w:val="00FA11F7"/>
    <w:rsid w:val="00FA1309"/>
    <w:rsid w:val="00FA156C"/>
    <w:rsid w:val="00FA18D0"/>
    <w:rsid w:val="00FA1A26"/>
    <w:rsid w:val="00FA1AC6"/>
    <w:rsid w:val="00FA1BDF"/>
    <w:rsid w:val="00FA1E1C"/>
    <w:rsid w:val="00FA21AB"/>
    <w:rsid w:val="00FA23BF"/>
    <w:rsid w:val="00FA2468"/>
    <w:rsid w:val="00FA24A1"/>
    <w:rsid w:val="00FA2640"/>
    <w:rsid w:val="00FA2E75"/>
    <w:rsid w:val="00FA2EE4"/>
    <w:rsid w:val="00FA30D1"/>
    <w:rsid w:val="00FA317F"/>
    <w:rsid w:val="00FA3358"/>
    <w:rsid w:val="00FA36F8"/>
    <w:rsid w:val="00FA37EC"/>
    <w:rsid w:val="00FA39B8"/>
    <w:rsid w:val="00FA3BB8"/>
    <w:rsid w:val="00FA3CEC"/>
    <w:rsid w:val="00FA4308"/>
    <w:rsid w:val="00FA4922"/>
    <w:rsid w:val="00FA4988"/>
    <w:rsid w:val="00FA4AA0"/>
    <w:rsid w:val="00FA4B5D"/>
    <w:rsid w:val="00FA5003"/>
    <w:rsid w:val="00FA50AC"/>
    <w:rsid w:val="00FA50F0"/>
    <w:rsid w:val="00FA5168"/>
    <w:rsid w:val="00FA568A"/>
    <w:rsid w:val="00FA5F63"/>
    <w:rsid w:val="00FA6224"/>
    <w:rsid w:val="00FA6239"/>
    <w:rsid w:val="00FA62BF"/>
    <w:rsid w:val="00FA6BDA"/>
    <w:rsid w:val="00FA6C19"/>
    <w:rsid w:val="00FA727D"/>
    <w:rsid w:val="00FA7293"/>
    <w:rsid w:val="00FA72B6"/>
    <w:rsid w:val="00FA7310"/>
    <w:rsid w:val="00FA77F5"/>
    <w:rsid w:val="00FA7C28"/>
    <w:rsid w:val="00FA7E13"/>
    <w:rsid w:val="00FA7E9F"/>
    <w:rsid w:val="00FA7EE8"/>
    <w:rsid w:val="00FB037F"/>
    <w:rsid w:val="00FB05C1"/>
    <w:rsid w:val="00FB05CB"/>
    <w:rsid w:val="00FB0926"/>
    <w:rsid w:val="00FB0A76"/>
    <w:rsid w:val="00FB0C89"/>
    <w:rsid w:val="00FB0EE3"/>
    <w:rsid w:val="00FB1021"/>
    <w:rsid w:val="00FB103F"/>
    <w:rsid w:val="00FB1297"/>
    <w:rsid w:val="00FB146F"/>
    <w:rsid w:val="00FB1481"/>
    <w:rsid w:val="00FB18AC"/>
    <w:rsid w:val="00FB1FD3"/>
    <w:rsid w:val="00FB20B1"/>
    <w:rsid w:val="00FB2AC7"/>
    <w:rsid w:val="00FB2B88"/>
    <w:rsid w:val="00FB2F89"/>
    <w:rsid w:val="00FB338C"/>
    <w:rsid w:val="00FB3529"/>
    <w:rsid w:val="00FB3713"/>
    <w:rsid w:val="00FB38FB"/>
    <w:rsid w:val="00FB3DBC"/>
    <w:rsid w:val="00FB3E09"/>
    <w:rsid w:val="00FB4481"/>
    <w:rsid w:val="00FB456D"/>
    <w:rsid w:val="00FB4AFE"/>
    <w:rsid w:val="00FB4B97"/>
    <w:rsid w:val="00FB4E1A"/>
    <w:rsid w:val="00FB4F70"/>
    <w:rsid w:val="00FB5182"/>
    <w:rsid w:val="00FB539C"/>
    <w:rsid w:val="00FB54B3"/>
    <w:rsid w:val="00FB5582"/>
    <w:rsid w:val="00FB5765"/>
    <w:rsid w:val="00FB5790"/>
    <w:rsid w:val="00FB59ED"/>
    <w:rsid w:val="00FB5FF0"/>
    <w:rsid w:val="00FB610F"/>
    <w:rsid w:val="00FB6262"/>
    <w:rsid w:val="00FB6265"/>
    <w:rsid w:val="00FB63F9"/>
    <w:rsid w:val="00FB65DC"/>
    <w:rsid w:val="00FB660E"/>
    <w:rsid w:val="00FB661D"/>
    <w:rsid w:val="00FB6B6A"/>
    <w:rsid w:val="00FB6FA5"/>
    <w:rsid w:val="00FB6FD0"/>
    <w:rsid w:val="00FB74B9"/>
    <w:rsid w:val="00FB77D6"/>
    <w:rsid w:val="00FB786A"/>
    <w:rsid w:val="00FB7B48"/>
    <w:rsid w:val="00FC023D"/>
    <w:rsid w:val="00FC0544"/>
    <w:rsid w:val="00FC0571"/>
    <w:rsid w:val="00FC067C"/>
    <w:rsid w:val="00FC06E4"/>
    <w:rsid w:val="00FC0D06"/>
    <w:rsid w:val="00FC0F7A"/>
    <w:rsid w:val="00FC10CF"/>
    <w:rsid w:val="00FC11E3"/>
    <w:rsid w:val="00FC162F"/>
    <w:rsid w:val="00FC1911"/>
    <w:rsid w:val="00FC1B48"/>
    <w:rsid w:val="00FC1C08"/>
    <w:rsid w:val="00FC1D00"/>
    <w:rsid w:val="00FC1ECA"/>
    <w:rsid w:val="00FC2264"/>
    <w:rsid w:val="00FC238F"/>
    <w:rsid w:val="00FC26FA"/>
    <w:rsid w:val="00FC2850"/>
    <w:rsid w:val="00FC2FC1"/>
    <w:rsid w:val="00FC30C8"/>
    <w:rsid w:val="00FC34D1"/>
    <w:rsid w:val="00FC3966"/>
    <w:rsid w:val="00FC3E5C"/>
    <w:rsid w:val="00FC41AD"/>
    <w:rsid w:val="00FC42BC"/>
    <w:rsid w:val="00FC48F7"/>
    <w:rsid w:val="00FC49EA"/>
    <w:rsid w:val="00FC528A"/>
    <w:rsid w:val="00FC5457"/>
    <w:rsid w:val="00FC5794"/>
    <w:rsid w:val="00FC59E5"/>
    <w:rsid w:val="00FC5D23"/>
    <w:rsid w:val="00FC5D62"/>
    <w:rsid w:val="00FC5D76"/>
    <w:rsid w:val="00FC677C"/>
    <w:rsid w:val="00FC69A4"/>
    <w:rsid w:val="00FC6DDC"/>
    <w:rsid w:val="00FC6E9F"/>
    <w:rsid w:val="00FC75BE"/>
    <w:rsid w:val="00FC7620"/>
    <w:rsid w:val="00FC7702"/>
    <w:rsid w:val="00FC7DA9"/>
    <w:rsid w:val="00FC7E47"/>
    <w:rsid w:val="00FC7FC5"/>
    <w:rsid w:val="00FD0228"/>
    <w:rsid w:val="00FD0473"/>
    <w:rsid w:val="00FD047C"/>
    <w:rsid w:val="00FD04BA"/>
    <w:rsid w:val="00FD0615"/>
    <w:rsid w:val="00FD074B"/>
    <w:rsid w:val="00FD0A88"/>
    <w:rsid w:val="00FD0DE3"/>
    <w:rsid w:val="00FD100E"/>
    <w:rsid w:val="00FD1460"/>
    <w:rsid w:val="00FD1900"/>
    <w:rsid w:val="00FD1EE0"/>
    <w:rsid w:val="00FD1F24"/>
    <w:rsid w:val="00FD1F84"/>
    <w:rsid w:val="00FD1FD7"/>
    <w:rsid w:val="00FD214B"/>
    <w:rsid w:val="00FD2520"/>
    <w:rsid w:val="00FD2579"/>
    <w:rsid w:val="00FD2639"/>
    <w:rsid w:val="00FD3256"/>
    <w:rsid w:val="00FD3540"/>
    <w:rsid w:val="00FD368E"/>
    <w:rsid w:val="00FD3AC9"/>
    <w:rsid w:val="00FD3E02"/>
    <w:rsid w:val="00FD3ECE"/>
    <w:rsid w:val="00FD405A"/>
    <w:rsid w:val="00FD42F0"/>
    <w:rsid w:val="00FD432F"/>
    <w:rsid w:val="00FD4580"/>
    <w:rsid w:val="00FD45A6"/>
    <w:rsid w:val="00FD45BD"/>
    <w:rsid w:val="00FD47B7"/>
    <w:rsid w:val="00FD4C67"/>
    <w:rsid w:val="00FD4DF5"/>
    <w:rsid w:val="00FD500F"/>
    <w:rsid w:val="00FD5144"/>
    <w:rsid w:val="00FD51FA"/>
    <w:rsid w:val="00FD553D"/>
    <w:rsid w:val="00FD5747"/>
    <w:rsid w:val="00FD574B"/>
    <w:rsid w:val="00FD59B2"/>
    <w:rsid w:val="00FD5A1A"/>
    <w:rsid w:val="00FD5C92"/>
    <w:rsid w:val="00FD62C1"/>
    <w:rsid w:val="00FD645D"/>
    <w:rsid w:val="00FD6660"/>
    <w:rsid w:val="00FD669E"/>
    <w:rsid w:val="00FD66BC"/>
    <w:rsid w:val="00FD679E"/>
    <w:rsid w:val="00FD68DA"/>
    <w:rsid w:val="00FD6A99"/>
    <w:rsid w:val="00FD70BE"/>
    <w:rsid w:val="00FD7301"/>
    <w:rsid w:val="00FD75DC"/>
    <w:rsid w:val="00FD7639"/>
    <w:rsid w:val="00FD7916"/>
    <w:rsid w:val="00FD7C70"/>
    <w:rsid w:val="00FE05D5"/>
    <w:rsid w:val="00FE06A8"/>
    <w:rsid w:val="00FE0799"/>
    <w:rsid w:val="00FE0B32"/>
    <w:rsid w:val="00FE0DEC"/>
    <w:rsid w:val="00FE0E6E"/>
    <w:rsid w:val="00FE10CC"/>
    <w:rsid w:val="00FE172D"/>
    <w:rsid w:val="00FE1B0C"/>
    <w:rsid w:val="00FE1CC3"/>
    <w:rsid w:val="00FE1E3F"/>
    <w:rsid w:val="00FE203E"/>
    <w:rsid w:val="00FE2299"/>
    <w:rsid w:val="00FE2547"/>
    <w:rsid w:val="00FE2BC4"/>
    <w:rsid w:val="00FE2CF2"/>
    <w:rsid w:val="00FE3474"/>
    <w:rsid w:val="00FE38CA"/>
    <w:rsid w:val="00FE3981"/>
    <w:rsid w:val="00FE3C9B"/>
    <w:rsid w:val="00FE3D3B"/>
    <w:rsid w:val="00FE40C8"/>
    <w:rsid w:val="00FE419D"/>
    <w:rsid w:val="00FE43B9"/>
    <w:rsid w:val="00FE4603"/>
    <w:rsid w:val="00FE4BFB"/>
    <w:rsid w:val="00FE4CCC"/>
    <w:rsid w:val="00FE4FC8"/>
    <w:rsid w:val="00FE5022"/>
    <w:rsid w:val="00FE52D9"/>
    <w:rsid w:val="00FE541D"/>
    <w:rsid w:val="00FE5536"/>
    <w:rsid w:val="00FE5565"/>
    <w:rsid w:val="00FE5CB1"/>
    <w:rsid w:val="00FE61EA"/>
    <w:rsid w:val="00FE6414"/>
    <w:rsid w:val="00FE689A"/>
    <w:rsid w:val="00FE690C"/>
    <w:rsid w:val="00FE69DC"/>
    <w:rsid w:val="00FE70E5"/>
    <w:rsid w:val="00FE7352"/>
    <w:rsid w:val="00FE736E"/>
    <w:rsid w:val="00FE73E6"/>
    <w:rsid w:val="00FE7603"/>
    <w:rsid w:val="00FE76B1"/>
    <w:rsid w:val="00FE7719"/>
    <w:rsid w:val="00FE785D"/>
    <w:rsid w:val="00FE7BFD"/>
    <w:rsid w:val="00FE7E29"/>
    <w:rsid w:val="00FF02F7"/>
    <w:rsid w:val="00FF0692"/>
    <w:rsid w:val="00FF072F"/>
    <w:rsid w:val="00FF0897"/>
    <w:rsid w:val="00FF0D67"/>
    <w:rsid w:val="00FF10C3"/>
    <w:rsid w:val="00FF1572"/>
    <w:rsid w:val="00FF1694"/>
    <w:rsid w:val="00FF1864"/>
    <w:rsid w:val="00FF1F53"/>
    <w:rsid w:val="00FF1FA3"/>
    <w:rsid w:val="00FF21A7"/>
    <w:rsid w:val="00FF2816"/>
    <w:rsid w:val="00FF2A67"/>
    <w:rsid w:val="00FF2C25"/>
    <w:rsid w:val="00FF3314"/>
    <w:rsid w:val="00FF3394"/>
    <w:rsid w:val="00FF34D8"/>
    <w:rsid w:val="00FF38F5"/>
    <w:rsid w:val="00FF396D"/>
    <w:rsid w:val="00FF3A57"/>
    <w:rsid w:val="00FF3AA0"/>
    <w:rsid w:val="00FF3ED8"/>
    <w:rsid w:val="00FF3F7D"/>
    <w:rsid w:val="00FF41D0"/>
    <w:rsid w:val="00FF49C8"/>
    <w:rsid w:val="00FF4B38"/>
    <w:rsid w:val="00FF4B9F"/>
    <w:rsid w:val="00FF4DFF"/>
    <w:rsid w:val="00FF506E"/>
    <w:rsid w:val="00FF5088"/>
    <w:rsid w:val="00FF50A8"/>
    <w:rsid w:val="00FF5167"/>
    <w:rsid w:val="00FF5542"/>
    <w:rsid w:val="00FF568F"/>
    <w:rsid w:val="00FF599D"/>
    <w:rsid w:val="00FF59E2"/>
    <w:rsid w:val="00FF5F66"/>
    <w:rsid w:val="00FF609D"/>
    <w:rsid w:val="00FF6128"/>
    <w:rsid w:val="00FF62A4"/>
    <w:rsid w:val="00FF6C2A"/>
    <w:rsid w:val="00FF6CE6"/>
    <w:rsid w:val="00FF7517"/>
    <w:rsid w:val="00FF76AF"/>
    <w:rsid w:val="00FF7849"/>
    <w:rsid w:val="00FF7928"/>
    <w:rsid w:val="00FF7CB6"/>
    <w:rsid w:val="00FF7D22"/>
    <w:rsid w:val="0103F58D"/>
    <w:rsid w:val="010D7B1C"/>
    <w:rsid w:val="0120F203"/>
    <w:rsid w:val="012360B6"/>
    <w:rsid w:val="0148EC7C"/>
    <w:rsid w:val="01A5B91B"/>
    <w:rsid w:val="01B51DBD"/>
    <w:rsid w:val="01F7F699"/>
    <w:rsid w:val="02F29DB5"/>
    <w:rsid w:val="02F2B873"/>
    <w:rsid w:val="0306F3C2"/>
    <w:rsid w:val="032B640C"/>
    <w:rsid w:val="036A6BBE"/>
    <w:rsid w:val="03B3CCE2"/>
    <w:rsid w:val="046C1D7A"/>
    <w:rsid w:val="04E0B925"/>
    <w:rsid w:val="050D710B"/>
    <w:rsid w:val="052E6240"/>
    <w:rsid w:val="0530F91C"/>
    <w:rsid w:val="05356CF0"/>
    <w:rsid w:val="054D78D2"/>
    <w:rsid w:val="0557B579"/>
    <w:rsid w:val="058AC52C"/>
    <w:rsid w:val="058C920F"/>
    <w:rsid w:val="05C65BD5"/>
    <w:rsid w:val="062304FE"/>
    <w:rsid w:val="06B693DB"/>
    <w:rsid w:val="06BEC28A"/>
    <w:rsid w:val="06DAD58A"/>
    <w:rsid w:val="07018782"/>
    <w:rsid w:val="07274FB6"/>
    <w:rsid w:val="072D802F"/>
    <w:rsid w:val="0760E07B"/>
    <w:rsid w:val="07A9B5B0"/>
    <w:rsid w:val="081E060A"/>
    <w:rsid w:val="082419FB"/>
    <w:rsid w:val="083CD5A4"/>
    <w:rsid w:val="0854B79D"/>
    <w:rsid w:val="08A9F7BA"/>
    <w:rsid w:val="08D3AC6D"/>
    <w:rsid w:val="08DA1D65"/>
    <w:rsid w:val="08F9096D"/>
    <w:rsid w:val="08F97828"/>
    <w:rsid w:val="0A5E5900"/>
    <w:rsid w:val="0ACEA587"/>
    <w:rsid w:val="0B55035A"/>
    <w:rsid w:val="0BAC39B7"/>
    <w:rsid w:val="0BDA2754"/>
    <w:rsid w:val="0C5C2D99"/>
    <w:rsid w:val="0CD25D11"/>
    <w:rsid w:val="0CF6A328"/>
    <w:rsid w:val="0D020DF6"/>
    <w:rsid w:val="0D48E377"/>
    <w:rsid w:val="0D610FB5"/>
    <w:rsid w:val="0E1F5F3C"/>
    <w:rsid w:val="0E5BA984"/>
    <w:rsid w:val="0E794B2C"/>
    <w:rsid w:val="0EC8A149"/>
    <w:rsid w:val="0F0FDBD9"/>
    <w:rsid w:val="0F22BA5B"/>
    <w:rsid w:val="0FF93620"/>
    <w:rsid w:val="103AF5D2"/>
    <w:rsid w:val="1045BC7A"/>
    <w:rsid w:val="10532210"/>
    <w:rsid w:val="106B1B7D"/>
    <w:rsid w:val="106C3C7C"/>
    <w:rsid w:val="10A233C3"/>
    <w:rsid w:val="10CA6D4B"/>
    <w:rsid w:val="11BB8E0A"/>
    <w:rsid w:val="11F01370"/>
    <w:rsid w:val="122CD537"/>
    <w:rsid w:val="123643E7"/>
    <w:rsid w:val="1266F1CA"/>
    <w:rsid w:val="1286C127"/>
    <w:rsid w:val="12DBFFFE"/>
    <w:rsid w:val="13181E79"/>
    <w:rsid w:val="131836E9"/>
    <w:rsid w:val="1345346B"/>
    <w:rsid w:val="1353F046"/>
    <w:rsid w:val="136BD2EE"/>
    <w:rsid w:val="136DE7D2"/>
    <w:rsid w:val="13D4FA60"/>
    <w:rsid w:val="13D6F397"/>
    <w:rsid w:val="141BA11C"/>
    <w:rsid w:val="14746961"/>
    <w:rsid w:val="14851333"/>
    <w:rsid w:val="14D4975A"/>
    <w:rsid w:val="14E8BA3E"/>
    <w:rsid w:val="156FC909"/>
    <w:rsid w:val="158E7F48"/>
    <w:rsid w:val="15A5C56D"/>
    <w:rsid w:val="15DEEF79"/>
    <w:rsid w:val="16227582"/>
    <w:rsid w:val="16F91595"/>
    <w:rsid w:val="17161C82"/>
    <w:rsid w:val="17334939"/>
    <w:rsid w:val="1843A96E"/>
    <w:rsid w:val="188A0287"/>
    <w:rsid w:val="18AA7627"/>
    <w:rsid w:val="18E78A5B"/>
    <w:rsid w:val="19609BFE"/>
    <w:rsid w:val="199AB4FA"/>
    <w:rsid w:val="19CF8DCF"/>
    <w:rsid w:val="19D0DD7A"/>
    <w:rsid w:val="1A0DD16F"/>
    <w:rsid w:val="1AF877ED"/>
    <w:rsid w:val="1B033005"/>
    <w:rsid w:val="1B10C88D"/>
    <w:rsid w:val="1B14F259"/>
    <w:rsid w:val="1B3B4E7E"/>
    <w:rsid w:val="1BB85003"/>
    <w:rsid w:val="1BE8AC7E"/>
    <w:rsid w:val="1C8B5021"/>
    <w:rsid w:val="1CC2507D"/>
    <w:rsid w:val="1D61BCD2"/>
    <w:rsid w:val="1D834DEF"/>
    <w:rsid w:val="1DB08E29"/>
    <w:rsid w:val="1E5F5F09"/>
    <w:rsid w:val="1E86B822"/>
    <w:rsid w:val="1F0F59FD"/>
    <w:rsid w:val="1F6A16B5"/>
    <w:rsid w:val="20280F23"/>
    <w:rsid w:val="2041DC8B"/>
    <w:rsid w:val="20AC9F90"/>
    <w:rsid w:val="20F15619"/>
    <w:rsid w:val="210FF282"/>
    <w:rsid w:val="2150CAB1"/>
    <w:rsid w:val="21559D34"/>
    <w:rsid w:val="217A7081"/>
    <w:rsid w:val="21A91281"/>
    <w:rsid w:val="21C3A442"/>
    <w:rsid w:val="21CDB25D"/>
    <w:rsid w:val="22089950"/>
    <w:rsid w:val="22B46BC6"/>
    <w:rsid w:val="22B7A572"/>
    <w:rsid w:val="22C12B9F"/>
    <w:rsid w:val="22FA33E9"/>
    <w:rsid w:val="23423B28"/>
    <w:rsid w:val="235FAFE5"/>
    <w:rsid w:val="236C3D69"/>
    <w:rsid w:val="23AD4F77"/>
    <w:rsid w:val="24227AA2"/>
    <w:rsid w:val="243F8A83"/>
    <w:rsid w:val="24EDAB42"/>
    <w:rsid w:val="2504EED0"/>
    <w:rsid w:val="255CFF14"/>
    <w:rsid w:val="2575E1F5"/>
    <w:rsid w:val="25DE2BB0"/>
    <w:rsid w:val="25FB2302"/>
    <w:rsid w:val="2627C78D"/>
    <w:rsid w:val="262FE278"/>
    <w:rsid w:val="2631D495"/>
    <w:rsid w:val="265E3AB5"/>
    <w:rsid w:val="2674ED8B"/>
    <w:rsid w:val="26773343"/>
    <w:rsid w:val="267E45B7"/>
    <w:rsid w:val="26D1052C"/>
    <w:rsid w:val="27058A68"/>
    <w:rsid w:val="271A6BE2"/>
    <w:rsid w:val="272D6EF9"/>
    <w:rsid w:val="273B5E16"/>
    <w:rsid w:val="27481DEF"/>
    <w:rsid w:val="2767AE54"/>
    <w:rsid w:val="27812639"/>
    <w:rsid w:val="27949CC2"/>
    <w:rsid w:val="27D1E53F"/>
    <w:rsid w:val="27D5675E"/>
    <w:rsid w:val="27F573AE"/>
    <w:rsid w:val="28B5142A"/>
    <w:rsid w:val="28E485C8"/>
    <w:rsid w:val="28EC9481"/>
    <w:rsid w:val="29065FC2"/>
    <w:rsid w:val="2921F4D3"/>
    <w:rsid w:val="29270F73"/>
    <w:rsid w:val="296041EF"/>
    <w:rsid w:val="297DFB40"/>
    <w:rsid w:val="298810CA"/>
    <w:rsid w:val="2996FCD5"/>
    <w:rsid w:val="29DD4B3E"/>
    <w:rsid w:val="2A588B61"/>
    <w:rsid w:val="2AE52D05"/>
    <w:rsid w:val="2AFBCBB7"/>
    <w:rsid w:val="2B0C0408"/>
    <w:rsid w:val="2B28C939"/>
    <w:rsid w:val="2B3D9A7D"/>
    <w:rsid w:val="2B4FD26E"/>
    <w:rsid w:val="2B788225"/>
    <w:rsid w:val="2BC99B6E"/>
    <w:rsid w:val="2C8937EC"/>
    <w:rsid w:val="2CA8A1C0"/>
    <w:rsid w:val="2CC5BA99"/>
    <w:rsid w:val="2D153C22"/>
    <w:rsid w:val="2D47DDA5"/>
    <w:rsid w:val="2DA89E2A"/>
    <w:rsid w:val="2DB89AA6"/>
    <w:rsid w:val="2DD56922"/>
    <w:rsid w:val="2E1ADB94"/>
    <w:rsid w:val="2E2B33AB"/>
    <w:rsid w:val="2E2FC3EF"/>
    <w:rsid w:val="2E6EE24B"/>
    <w:rsid w:val="2E86DBB8"/>
    <w:rsid w:val="2EA920B0"/>
    <w:rsid w:val="2F6735D0"/>
    <w:rsid w:val="2F931182"/>
    <w:rsid w:val="2FA8FF7E"/>
    <w:rsid w:val="3030ACE8"/>
    <w:rsid w:val="3036813E"/>
    <w:rsid w:val="305A83D9"/>
    <w:rsid w:val="3070B4C8"/>
    <w:rsid w:val="309AF97E"/>
    <w:rsid w:val="30B325BC"/>
    <w:rsid w:val="30EB3AE4"/>
    <w:rsid w:val="30F3245B"/>
    <w:rsid w:val="30F70EEE"/>
    <w:rsid w:val="3114967D"/>
    <w:rsid w:val="31B5111B"/>
    <w:rsid w:val="31D08AA0"/>
    <w:rsid w:val="31E33412"/>
    <w:rsid w:val="323C3313"/>
    <w:rsid w:val="32746B66"/>
    <w:rsid w:val="32A258A2"/>
    <w:rsid w:val="32CDC641"/>
    <w:rsid w:val="334B4C27"/>
    <w:rsid w:val="338C9412"/>
    <w:rsid w:val="338D0BD9"/>
    <w:rsid w:val="33A53817"/>
    <w:rsid w:val="33B71F29"/>
    <w:rsid w:val="33EA2F06"/>
    <w:rsid w:val="33FEE285"/>
    <w:rsid w:val="3431FC54"/>
    <w:rsid w:val="346947D1"/>
    <w:rsid w:val="347E4FD5"/>
    <w:rsid w:val="3483B633"/>
    <w:rsid w:val="34D03A75"/>
    <w:rsid w:val="35326C6B"/>
    <w:rsid w:val="353FA79C"/>
    <w:rsid w:val="35726F03"/>
    <w:rsid w:val="35933EF3"/>
    <w:rsid w:val="35D8D72E"/>
    <w:rsid w:val="36426336"/>
    <w:rsid w:val="36528D6E"/>
    <w:rsid w:val="374C8FF0"/>
    <w:rsid w:val="379AB4A5"/>
    <w:rsid w:val="37E0D6A0"/>
    <w:rsid w:val="3811DF7B"/>
    <w:rsid w:val="384E6FFA"/>
    <w:rsid w:val="389E0C36"/>
    <w:rsid w:val="395C5F4B"/>
    <w:rsid w:val="39748B89"/>
    <w:rsid w:val="39895CCD"/>
    <w:rsid w:val="39913655"/>
    <w:rsid w:val="39958793"/>
    <w:rsid w:val="399DC09B"/>
    <w:rsid w:val="3A3FDD7B"/>
    <w:rsid w:val="3A47DB61"/>
    <w:rsid w:val="3AB1BD96"/>
    <w:rsid w:val="3AD57DDC"/>
    <w:rsid w:val="3B0F0A49"/>
    <w:rsid w:val="3B4614CD"/>
    <w:rsid w:val="3B6333B1"/>
    <w:rsid w:val="3BFD7961"/>
    <w:rsid w:val="3C4E71A6"/>
    <w:rsid w:val="3D054496"/>
    <w:rsid w:val="3E17933A"/>
    <w:rsid w:val="3E236360"/>
    <w:rsid w:val="3E2A53CC"/>
    <w:rsid w:val="3E9ACC66"/>
    <w:rsid w:val="3E9BE72D"/>
    <w:rsid w:val="3EA94CC3"/>
    <w:rsid w:val="3EE6BBCE"/>
    <w:rsid w:val="3F281AE0"/>
    <w:rsid w:val="3F56D49B"/>
    <w:rsid w:val="3FB2E0E2"/>
    <w:rsid w:val="3FDA7BDC"/>
    <w:rsid w:val="40824322"/>
    <w:rsid w:val="41599058"/>
    <w:rsid w:val="4192FA48"/>
    <w:rsid w:val="41C75551"/>
    <w:rsid w:val="41FB047B"/>
    <w:rsid w:val="422CD4E0"/>
    <w:rsid w:val="4254DD5E"/>
    <w:rsid w:val="426FF8CE"/>
    <w:rsid w:val="43212F4B"/>
    <w:rsid w:val="43253585"/>
    <w:rsid w:val="4339B8A0"/>
    <w:rsid w:val="4354FA66"/>
    <w:rsid w:val="4366263A"/>
    <w:rsid w:val="43E4AF80"/>
    <w:rsid w:val="43E703E5"/>
    <w:rsid w:val="441438B4"/>
    <w:rsid w:val="443FF9F5"/>
    <w:rsid w:val="4441A6B3"/>
    <w:rsid w:val="44609456"/>
    <w:rsid w:val="4485CE5A"/>
    <w:rsid w:val="45442C3C"/>
    <w:rsid w:val="454A3127"/>
    <w:rsid w:val="45CE4AB7"/>
    <w:rsid w:val="45EAAD73"/>
    <w:rsid w:val="4604D9BA"/>
    <w:rsid w:val="46249A65"/>
    <w:rsid w:val="46BCE3A6"/>
    <w:rsid w:val="46C4BA09"/>
    <w:rsid w:val="46D1B4EA"/>
    <w:rsid w:val="472CEEFE"/>
    <w:rsid w:val="47A8219B"/>
    <w:rsid w:val="47CF9288"/>
    <w:rsid w:val="4813B96B"/>
    <w:rsid w:val="48CA4305"/>
    <w:rsid w:val="48E890D2"/>
    <w:rsid w:val="49023D92"/>
    <w:rsid w:val="49448974"/>
    <w:rsid w:val="496185EA"/>
    <w:rsid w:val="49729051"/>
    <w:rsid w:val="49C50BF3"/>
    <w:rsid w:val="49E25292"/>
    <w:rsid w:val="4A487D2E"/>
    <w:rsid w:val="4A4D609C"/>
    <w:rsid w:val="4AB23C77"/>
    <w:rsid w:val="4B3B8B85"/>
    <w:rsid w:val="4B60DC54"/>
    <w:rsid w:val="4B980BC5"/>
    <w:rsid w:val="4BD2D6A1"/>
    <w:rsid w:val="4BE29518"/>
    <w:rsid w:val="4C955764"/>
    <w:rsid w:val="4CF01A0F"/>
    <w:rsid w:val="4D46EABF"/>
    <w:rsid w:val="4D6566E7"/>
    <w:rsid w:val="4D8C821B"/>
    <w:rsid w:val="4D922746"/>
    <w:rsid w:val="4D9B5834"/>
    <w:rsid w:val="4DFC2FC2"/>
    <w:rsid w:val="4E17C6FE"/>
    <w:rsid w:val="4E25010C"/>
    <w:rsid w:val="4E2C134C"/>
    <w:rsid w:val="4EA7A9F1"/>
    <w:rsid w:val="4F18207F"/>
    <w:rsid w:val="4F625C96"/>
    <w:rsid w:val="4F7E4973"/>
    <w:rsid w:val="4FB328B1"/>
    <w:rsid w:val="50182F0F"/>
    <w:rsid w:val="50282AD4"/>
    <w:rsid w:val="50578EE8"/>
    <w:rsid w:val="506AA030"/>
    <w:rsid w:val="50E43FBB"/>
    <w:rsid w:val="516CF19B"/>
    <w:rsid w:val="51B7A568"/>
    <w:rsid w:val="51C0F852"/>
    <w:rsid w:val="51E5DF24"/>
    <w:rsid w:val="521D39FF"/>
    <w:rsid w:val="522A1E3A"/>
    <w:rsid w:val="5256F409"/>
    <w:rsid w:val="526FF46E"/>
    <w:rsid w:val="529E185E"/>
    <w:rsid w:val="5346C87F"/>
    <w:rsid w:val="535A1A52"/>
    <w:rsid w:val="53BA1DA2"/>
    <w:rsid w:val="53CCADAF"/>
    <w:rsid w:val="53DF3FB4"/>
    <w:rsid w:val="54243309"/>
    <w:rsid w:val="5516762B"/>
    <w:rsid w:val="551D773A"/>
    <w:rsid w:val="55927017"/>
    <w:rsid w:val="5599F7FB"/>
    <w:rsid w:val="55FB4541"/>
    <w:rsid w:val="5620BDB0"/>
    <w:rsid w:val="56366717"/>
    <w:rsid w:val="5645D052"/>
    <w:rsid w:val="56825766"/>
    <w:rsid w:val="56956726"/>
    <w:rsid w:val="56A38EFB"/>
    <w:rsid w:val="56D1B5CF"/>
    <w:rsid w:val="570700E0"/>
    <w:rsid w:val="5743786A"/>
    <w:rsid w:val="579BD3C1"/>
    <w:rsid w:val="57D5418B"/>
    <w:rsid w:val="58021C78"/>
    <w:rsid w:val="583692CA"/>
    <w:rsid w:val="587C4A60"/>
    <w:rsid w:val="58963BF2"/>
    <w:rsid w:val="59021753"/>
    <w:rsid w:val="596291D2"/>
    <w:rsid w:val="597C022E"/>
    <w:rsid w:val="5987EC8D"/>
    <w:rsid w:val="59AFA31E"/>
    <w:rsid w:val="59BEEAF9"/>
    <w:rsid w:val="59E96079"/>
    <w:rsid w:val="5A1046FD"/>
    <w:rsid w:val="5A6312C6"/>
    <w:rsid w:val="5AA00683"/>
    <w:rsid w:val="5B49C653"/>
    <w:rsid w:val="5B5DD7C1"/>
    <w:rsid w:val="5B5EDD92"/>
    <w:rsid w:val="5B71D738"/>
    <w:rsid w:val="5BDFB3E6"/>
    <w:rsid w:val="5BE27FD2"/>
    <w:rsid w:val="5C467855"/>
    <w:rsid w:val="5CAE7552"/>
    <w:rsid w:val="5D027C09"/>
    <w:rsid w:val="5D6F0710"/>
    <w:rsid w:val="5D82038E"/>
    <w:rsid w:val="5E57E46C"/>
    <w:rsid w:val="5EB549B8"/>
    <w:rsid w:val="5EBC66EA"/>
    <w:rsid w:val="5F6C8397"/>
    <w:rsid w:val="5F8BB669"/>
    <w:rsid w:val="5FB930D8"/>
    <w:rsid w:val="5FD99794"/>
    <w:rsid w:val="5FEF2595"/>
    <w:rsid w:val="6008A180"/>
    <w:rsid w:val="6094F8B3"/>
    <w:rsid w:val="60E32753"/>
    <w:rsid w:val="60E9E55A"/>
    <w:rsid w:val="61094672"/>
    <w:rsid w:val="617C69D3"/>
    <w:rsid w:val="61A75C13"/>
    <w:rsid w:val="624CA7C0"/>
    <w:rsid w:val="62752870"/>
    <w:rsid w:val="62901FD8"/>
    <w:rsid w:val="63D539AE"/>
    <w:rsid w:val="641A309D"/>
    <w:rsid w:val="644BB103"/>
    <w:rsid w:val="64579FA8"/>
    <w:rsid w:val="64D0B14B"/>
    <w:rsid w:val="64DAC6DF"/>
    <w:rsid w:val="66207650"/>
    <w:rsid w:val="6633031D"/>
    <w:rsid w:val="66686AB7"/>
    <w:rsid w:val="66734552"/>
    <w:rsid w:val="66865D2C"/>
    <w:rsid w:val="66874FC3"/>
    <w:rsid w:val="66B83C41"/>
    <w:rsid w:val="66F18C8C"/>
    <w:rsid w:val="66F6ABF8"/>
    <w:rsid w:val="6777206F"/>
    <w:rsid w:val="67868726"/>
    <w:rsid w:val="68024795"/>
    <w:rsid w:val="681A0D7F"/>
    <w:rsid w:val="684E58BC"/>
    <w:rsid w:val="68CAD772"/>
    <w:rsid w:val="692060BE"/>
    <w:rsid w:val="696557AD"/>
    <w:rsid w:val="69824ED0"/>
    <w:rsid w:val="69A48D20"/>
    <w:rsid w:val="69D12AB0"/>
    <w:rsid w:val="6A23CAF1"/>
    <w:rsid w:val="6A45D87A"/>
    <w:rsid w:val="6A78FA8D"/>
    <w:rsid w:val="6AACD84A"/>
    <w:rsid w:val="6AFD16E9"/>
    <w:rsid w:val="6B21966B"/>
    <w:rsid w:val="6B3F2E91"/>
    <w:rsid w:val="6B434F2A"/>
    <w:rsid w:val="6B4693C4"/>
    <w:rsid w:val="6B5A20BC"/>
    <w:rsid w:val="6B7D3743"/>
    <w:rsid w:val="6BD0A453"/>
    <w:rsid w:val="6BF3ED0C"/>
    <w:rsid w:val="6C12A0D2"/>
    <w:rsid w:val="6C137FF7"/>
    <w:rsid w:val="6C1624C9"/>
    <w:rsid w:val="6C741990"/>
    <w:rsid w:val="6C9A637D"/>
    <w:rsid w:val="6CB08430"/>
    <w:rsid w:val="6CC9E54E"/>
    <w:rsid w:val="6CE8DFCA"/>
    <w:rsid w:val="6D0E38F1"/>
    <w:rsid w:val="6D4620D7"/>
    <w:rsid w:val="6D501DBB"/>
    <w:rsid w:val="6D72CDA8"/>
    <w:rsid w:val="6D7EB02C"/>
    <w:rsid w:val="6DA79E49"/>
    <w:rsid w:val="6DCB9573"/>
    <w:rsid w:val="6DEC49FD"/>
    <w:rsid w:val="6DF3AC88"/>
    <w:rsid w:val="6E3E4CA9"/>
    <w:rsid w:val="6E6A23B6"/>
    <w:rsid w:val="6E91FA70"/>
    <w:rsid w:val="6F24D10E"/>
    <w:rsid w:val="6F2F732A"/>
    <w:rsid w:val="6F34AB1F"/>
    <w:rsid w:val="6F3575C0"/>
    <w:rsid w:val="6F45D864"/>
    <w:rsid w:val="6FB3909D"/>
    <w:rsid w:val="6FB9A261"/>
    <w:rsid w:val="6FC620E1"/>
    <w:rsid w:val="709256DC"/>
    <w:rsid w:val="70B190A9"/>
    <w:rsid w:val="718C0C0D"/>
    <w:rsid w:val="71AAFBAA"/>
    <w:rsid w:val="7220FBFE"/>
    <w:rsid w:val="72756CDF"/>
    <w:rsid w:val="727AC431"/>
    <w:rsid w:val="72A56D21"/>
    <w:rsid w:val="72D05F7A"/>
    <w:rsid w:val="72D70002"/>
    <w:rsid w:val="73485F83"/>
    <w:rsid w:val="736DD299"/>
    <w:rsid w:val="73D93341"/>
    <w:rsid w:val="73DA11FE"/>
    <w:rsid w:val="73DBEB38"/>
    <w:rsid w:val="743E1A04"/>
    <w:rsid w:val="74814D9C"/>
    <w:rsid w:val="74B929F0"/>
    <w:rsid w:val="75C271D5"/>
    <w:rsid w:val="7626B139"/>
    <w:rsid w:val="765BF902"/>
    <w:rsid w:val="76B4712E"/>
    <w:rsid w:val="7709EDF3"/>
    <w:rsid w:val="772A96B3"/>
    <w:rsid w:val="77412AE4"/>
    <w:rsid w:val="7811920E"/>
    <w:rsid w:val="784C4444"/>
    <w:rsid w:val="785A9840"/>
    <w:rsid w:val="78A7ABBA"/>
    <w:rsid w:val="78B8A338"/>
    <w:rsid w:val="78D56E65"/>
    <w:rsid w:val="796E8185"/>
    <w:rsid w:val="798A105C"/>
    <w:rsid w:val="7A8DF062"/>
    <w:rsid w:val="7A9875D8"/>
    <w:rsid w:val="7AC7C7AB"/>
    <w:rsid w:val="7AE4774E"/>
    <w:rsid w:val="7B1310FD"/>
    <w:rsid w:val="7B18F611"/>
    <w:rsid w:val="7B77EABD"/>
    <w:rsid w:val="7B83E506"/>
    <w:rsid w:val="7BAE1519"/>
    <w:rsid w:val="7C3F297F"/>
    <w:rsid w:val="7C64B9EB"/>
    <w:rsid w:val="7C9E04DD"/>
    <w:rsid w:val="7CC8CBF2"/>
    <w:rsid w:val="7D624B3D"/>
    <w:rsid w:val="7D72159C"/>
    <w:rsid w:val="7DD3450A"/>
    <w:rsid w:val="7E6FBF2D"/>
    <w:rsid w:val="7E8DE8EB"/>
    <w:rsid w:val="7EA6B6F0"/>
    <w:rsid w:val="7EE7B2AF"/>
    <w:rsid w:val="7F7204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D2D8F"/>
  <w15:chartTrackingRefBased/>
  <w15:docId w15:val="{0853E4A8-3356-4D2E-ACDF-31B9847DD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114"/>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Cambria Math" w:hAnsi="Cambria Math"/>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Cambria Math" w:hAnsi="Cambria Math"/>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Cambria Math" w:hAnsi="Cambria Math"/>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Cambria Math" w:hAnsi="Cambria Math"/>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Light" w:hAnsi="Yu Mincho Light"/>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Cambria Math" w:hAnsi="Cambria Math"/>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Yu Mincho Light" w:hAnsi="Yu Mincho Light"/>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Cambria Math" w:hAnsi="Cambria Math"/>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Cambria Math" w:hAnsi="Cambria Math"/>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Cambria Math" w:hAnsi="Cambria Math"/>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Cambria Math" w:hAnsi="Cambria Math"/>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Cambria Math" w:hAnsi="Cambria Math"/>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Cambria Math" w:hAnsi="Cambria Math"/>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Cambria Math" w:hAnsi="Cambria Math"/>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qFormat/>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Cambria Math" w:hAnsi="Cambria Math"/>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Yu Mincho Light" w:hAnsi="Yu Mincho Light"/>
    </w:rPr>
  </w:style>
  <w:style w:type="paragraph" w:styleId="PlainText">
    <w:name w:val="Plain Text"/>
    <w:basedOn w:val="Normal"/>
    <w:link w:val="PlainTextChar"/>
    <w:rPr>
      <w:rFonts w:ascii="Yu Mincho Light" w:hAnsi="Yu Mincho Light"/>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qFormat/>
  </w:style>
  <w:style w:type="character" w:customStyle="1" w:styleId="FigureTitleChar">
    <w:name w:val="Figure Title Char"/>
    <w:rsid w:val="00217189"/>
    <w:rPr>
      <w:rFonts w:ascii="Cambria Math" w:hAnsi="Cambria Math"/>
      <w:lang w:val="en-GB" w:eastAsia="en-US" w:bidi="ar-SA"/>
    </w:rPr>
  </w:style>
  <w:style w:type="character" w:customStyle="1" w:styleId="TALChar">
    <w:name w:val="TAL Char"/>
    <w:link w:val="TAL"/>
    <w:qFormat/>
    <w:rsid w:val="00F50F9A"/>
    <w:rPr>
      <w:rFonts w:ascii="Cambria Math" w:hAnsi="Cambria Math"/>
      <w:sz w:val="18"/>
      <w:lang w:val="en-GB"/>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Cambria Math" w:hAnsi="Cambria Math"/>
      <w:b/>
      <w:lang w:val="en-GB"/>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Yu Mincho Light" w:hAnsi="Yu Mincho Light" w:cs="Yu Mincho Light"/>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Cambria Math" w:hAnsi="Cambria Math"/>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uiPriority w:val="35"/>
    <w:qFormat/>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left" w:pos="540"/>
      </w:tabs>
      <w:overflowPunct/>
      <w:autoSpaceDE/>
      <w:autoSpaceDN/>
      <w:adjustRightInd/>
      <w:spacing w:after="40"/>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Calibri" w:hAnsi="Calibri"/>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Cambria Math" w:eastAsia="Calibri" w:hAnsi="Cambria Math" w:cs="Cambria Math"/>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Cambria Math" w:hAnsi="Cambria Math"/>
      <w:b/>
      <w:noProof/>
      <w:sz w:val="18"/>
    </w:rPr>
  </w:style>
  <w:style w:type="paragraph" w:styleId="Title">
    <w:name w:val="Title"/>
    <w:basedOn w:val="Normal"/>
    <w:next w:val="Normal"/>
    <w:link w:val="TitleChar"/>
    <w:qFormat/>
    <w:rsid w:val="000C1AA6"/>
    <w:pPr>
      <w:spacing w:before="240" w:after="60"/>
      <w:outlineLvl w:val="0"/>
    </w:pPr>
    <w:rPr>
      <w:rFonts w:ascii="Cambria Math" w:hAnsi="Cambria Math"/>
      <w:b/>
      <w:bCs/>
      <w:kern w:val="28"/>
      <w:sz w:val="28"/>
      <w:szCs w:val="32"/>
    </w:rPr>
  </w:style>
  <w:style w:type="character" w:customStyle="1" w:styleId="TitleChar">
    <w:name w:val="Title Char"/>
    <w:link w:val="Title"/>
    <w:rsid w:val="000C1AA6"/>
    <w:rPr>
      <w:rFonts w:ascii="Cambria Math" w:hAnsi="Cambria Math"/>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Cambria Math" w:hAnsi="Cambria Math"/>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Cambria Math" w:hAnsi="Cambria Math"/>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Cambria Math" w:hAnsi="Cambria Math"/>
      <w:sz w:val="22"/>
      <w:lang w:val="en-GB"/>
    </w:rPr>
  </w:style>
  <w:style w:type="character" w:customStyle="1" w:styleId="H6Char">
    <w:name w:val="H6 Char"/>
    <w:link w:val="H6"/>
    <w:rsid w:val="0099493B"/>
    <w:rPr>
      <w:rFonts w:ascii="Cambria Math" w:hAnsi="Cambria Math"/>
      <w:lang w:val="en-GB"/>
    </w:rPr>
  </w:style>
  <w:style w:type="character" w:customStyle="1" w:styleId="Heading6Char">
    <w:name w:val="Heading 6 Char"/>
    <w:aliases w:val="T1 Char4,Header 6 Char"/>
    <w:basedOn w:val="H6Char"/>
    <w:link w:val="Heading6"/>
    <w:rsid w:val="0099493B"/>
    <w:rPr>
      <w:rFonts w:ascii="Cambria Math" w:hAnsi="Cambria Math"/>
      <w:lang w:val="en-GB"/>
    </w:rPr>
  </w:style>
  <w:style w:type="character" w:customStyle="1" w:styleId="CharChar12">
    <w:name w:val="Char Char12"/>
    <w:locked/>
    <w:rsid w:val="0099493B"/>
    <w:rPr>
      <w:rFonts w:ascii="Cambria Math" w:hAnsi="Cambria Math"/>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Yu Mincho Light" w:hAnsi="Yu Mincho Light"/>
      <w:shd w:val="clear" w:color="auto" w:fill="000080"/>
      <w:lang w:val="en-GB"/>
    </w:rPr>
  </w:style>
  <w:style w:type="character" w:customStyle="1" w:styleId="PlainTextChar">
    <w:name w:val="Plain Text Char"/>
    <w:link w:val="PlainText"/>
    <w:rsid w:val="0099493B"/>
    <w:rPr>
      <w:rFonts w:ascii="Yu Mincho Light" w:hAnsi="Yu Mincho Light"/>
      <w:lang w:val="nb-NO"/>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Calibri" w:eastAsia="Cambria Math" w:hAnsi="Calibri" w:cs="Calibri"/>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Calibri" w:eastAsia="Cambria Math" w:hAnsi="Calibri"/>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列,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Cambria Math" w:hAnsi="Cambria Math"/>
      <w:sz w:val="32"/>
      <w:lang w:val="en-GB" w:eastAsia="ja-JP" w:bidi="ar-SA"/>
    </w:rPr>
  </w:style>
  <w:style w:type="character" w:customStyle="1" w:styleId="CharChar4">
    <w:name w:val="Char Char4"/>
    <w:rsid w:val="0099493B"/>
    <w:rPr>
      <w:rFonts w:ascii="Yu Mincho Light" w:hAnsi="Yu Mincho Light"/>
      <w:lang w:val="nb-NO" w:eastAsia="ja-JP" w:bidi="ar-SA"/>
    </w:rPr>
  </w:style>
  <w:style w:type="character" w:customStyle="1" w:styleId="AndreaLeonardi">
    <w:name w:val="Andrea Leonardi"/>
    <w:semiHidden/>
    <w:rsid w:val="0099493B"/>
    <w:rPr>
      <w:rFonts w:ascii="Cambria Math" w:hAnsi="Cambria Math" w:cs="Cambria Math"/>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Cambria Math" w:hAnsi="Cambria Math"/>
      <w:sz w:val="36"/>
      <w:lang w:val="en-GB" w:eastAsia="en-US" w:bidi="ar-SA"/>
    </w:rPr>
  </w:style>
  <w:style w:type="character" w:customStyle="1" w:styleId="TACCar">
    <w:name w:val="TAC Car"/>
    <w:rsid w:val="0099493B"/>
    <w:rPr>
      <w:rFonts w:ascii="Cambria Math" w:hAnsi="Cambria Math"/>
      <w:sz w:val="18"/>
      <w:lang w:val="en-GB" w:eastAsia="ja-JP" w:bidi="ar-SA"/>
    </w:rPr>
  </w:style>
  <w:style w:type="character" w:customStyle="1" w:styleId="TAL0">
    <w:name w:val="TAL (文字)"/>
    <w:rsid w:val="0099493B"/>
    <w:rPr>
      <w:rFonts w:ascii="Cambria Math" w:hAnsi="Cambria Math"/>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Cambria Math" w:eastAsia="Calibri" w:hAnsi="Cambria Math" w:cs="Cambria Math"/>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
    <w:name w:val="T1 Char"/>
    <w:aliases w:val="Header 6 Char Char"/>
    <w:basedOn w:val="H6Char"/>
    <w:rsid w:val="0099493B"/>
    <w:rPr>
      <w:rFonts w:ascii="Cambria Math" w:hAnsi="Cambria Math"/>
      <w:lang w:val="en-GB" w:eastAsia="en-US" w:bidi="ar-SA"/>
    </w:rPr>
  </w:style>
  <w:style w:type="character" w:customStyle="1" w:styleId="T1Char1">
    <w:name w:val="T1 Char1"/>
    <w:aliases w:val="Header 6 Char Char1"/>
    <w:basedOn w:val="H6Char"/>
    <w:rsid w:val="0099493B"/>
    <w:rPr>
      <w:rFonts w:ascii="Cambria Math" w:hAnsi="Cambria Math"/>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Cambria Math" w:eastAsia="Yu Mincho Light" w:hAnsi="Cambria Math"/>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Cambria Math" w:eastAsia="Yu Mincho Light" w:hAnsi="Cambria Math"/>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Cambria Math" w:eastAsia="Yu Mincho Light" w:hAnsi="Cambria Math"/>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Cambria Math" w:hAnsi="Cambria Math"/>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Cambria Math" w:hAnsi="Cambria Math"/>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Cambria Math" w:hAnsi="Cambria Math"/>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Cambria Math" w:hAnsi="Cambria Math"/>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Cambria Math" w:hAnsi="Cambria Math"/>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Cambria Math" w:eastAsia="Yu Mincho Light" w:hAnsi="Cambria Math"/>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Cambria Math" w:eastAsia="Yu Mincho Light" w:hAnsi="Cambria Math"/>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Cambria Math" w:eastAsia="Cambria Math" w:hAnsi="Cambria Math" w:cs="Times"/>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2">
    <w:name w:val="T1 Char2"/>
    <w:aliases w:val="Header 6 Char Char2"/>
    <w:basedOn w:val="H6Char"/>
    <w:rsid w:val="0099493B"/>
    <w:rPr>
      <w:rFonts w:ascii="Cambria Math" w:hAnsi="Cambria Math"/>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pPr>
    <w:rPr>
      <w:lang w:eastAsia="en-GB"/>
    </w:rPr>
  </w:style>
  <w:style w:type="paragraph" w:styleId="ListNumber4">
    <w:name w:val="List Number 4"/>
    <w:basedOn w:val="Normal"/>
    <w:rsid w:val="0099493B"/>
    <w:pPr>
      <w:numPr>
        <w:numId w:val="4"/>
      </w:numPr>
      <w:tabs>
        <w:tab w:val="num" w:pos="1209"/>
      </w:tabs>
    </w:pPr>
    <w:rPr>
      <w:lang w:eastAsia="en-GB"/>
    </w:rPr>
  </w:style>
  <w:style w:type="character" w:styleId="Strong">
    <w:name w:val="Strong"/>
    <w:qFormat/>
    <w:rsid w:val="0099493B"/>
    <w:rPr>
      <w:b/>
      <w:bCs/>
    </w:rPr>
  </w:style>
  <w:style w:type="character" w:customStyle="1" w:styleId="CharChar7">
    <w:name w:val="Char Char7"/>
    <w:semiHidden/>
    <w:rsid w:val="0099493B"/>
    <w:rPr>
      <w:rFonts w:ascii="Yu Mincho Light" w:hAnsi="Yu Mincho Light" w:cs="Yu Mincho Light"/>
      <w:shd w:val="clear" w:color="auto" w:fill="000080"/>
      <w:lang w:val="en-GB" w:eastAsia="en-US"/>
    </w:rPr>
  </w:style>
  <w:style w:type="character" w:customStyle="1" w:styleId="ZchnZchn5">
    <w:name w:val="Zchn Zchn5"/>
    <w:rsid w:val="0099493B"/>
    <w:rPr>
      <w:rFonts w:ascii="Yu Mincho Light" w:eastAsia="Cambria Math" w:hAnsi="Yu Mincho Light"/>
      <w:lang w:val="nb-NO" w:eastAsia="en-US" w:bidi="ar-SA"/>
    </w:rPr>
  </w:style>
  <w:style w:type="character" w:customStyle="1" w:styleId="CharChar10">
    <w:name w:val="Char Char10"/>
    <w:semiHidden/>
    <w:rsid w:val="0099493B"/>
    <w:rPr>
      <w:rFonts w:ascii="Times" w:hAnsi="Times"/>
      <w:lang w:val="en-GB" w:eastAsia="en-US"/>
    </w:rPr>
  </w:style>
  <w:style w:type="character" w:customStyle="1" w:styleId="CharChar9">
    <w:name w:val="Char Char9"/>
    <w:semiHidden/>
    <w:rsid w:val="0099493B"/>
    <w:rPr>
      <w:rFonts w:ascii="Yu Mincho Light" w:hAnsi="Yu Mincho Light" w:cs="Yu Mincho Light"/>
      <w:sz w:val="16"/>
      <w:szCs w:val="16"/>
      <w:lang w:val="en-GB" w:eastAsia="en-US"/>
    </w:rPr>
  </w:style>
  <w:style w:type="character" w:customStyle="1" w:styleId="CharChar8">
    <w:name w:val="Char Char8"/>
    <w:semiHidden/>
    <w:rsid w:val="0099493B"/>
    <w:rPr>
      <w:rFonts w:ascii="Times" w:hAnsi="Times"/>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Cambria Math" w:hAnsi="Cambria Math"/>
      <w:b/>
    </w:rPr>
  </w:style>
  <w:style w:type="character" w:customStyle="1" w:styleId="h5Char2">
    <w:name w:val="h5 Char2"/>
    <w:aliases w:val="Heading5 Char2,Head5 Char2,H5 Char2,M5 Char2,mh2 Char2,Module heading 2 Char2,heading 8 Char2,Numbered Sub-list Char1,Heading 81 Char Char1"/>
    <w:rsid w:val="0099493B"/>
    <w:rPr>
      <w:rFonts w:ascii="Cambria Math" w:hAnsi="Cambria Math"/>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Cambria Math" w:hAnsi="Cambria Math"/>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Cambria Math" w:hAnsi="Cambria Math"/>
      <w:sz w:val="36"/>
      <w:lang w:eastAsia="de-DE"/>
    </w:rPr>
  </w:style>
  <w:style w:type="paragraph" w:customStyle="1" w:styleId="CRfront">
    <w:name w:val="CR_front"/>
    <w:rsid w:val="00675341"/>
    <w:rPr>
      <w:rFonts w:ascii="Cambria Math" w:hAnsi="Cambria Math"/>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Calibri" w:hAnsi="Calibri"/>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Calibri" w:hAnsi="Calibri"/>
      <w:lang w:val="en-US"/>
    </w:rPr>
  </w:style>
  <w:style w:type="paragraph" w:customStyle="1" w:styleId="CRCoverPage">
    <w:name w:val="CR Cover Page"/>
    <w:link w:val="CRCoverPageChar"/>
    <w:qFormat/>
    <w:rsid w:val="00675341"/>
    <w:pPr>
      <w:spacing w:after="120"/>
    </w:pPr>
    <w:rPr>
      <w:rFonts w:ascii="Cambria Math" w:hAnsi="Cambria Math"/>
      <w:lang w:val="en-GB"/>
    </w:rPr>
  </w:style>
  <w:style w:type="paragraph" w:customStyle="1" w:styleId="tdoc-header">
    <w:name w:val="tdoc-header"/>
    <w:rsid w:val="00675341"/>
    <w:rPr>
      <w:rFonts w:ascii="Cambria Math" w:hAnsi="Cambria Math"/>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Calibri" w:hAnsi="Calibri"/>
      <w:lang w:val="en-US"/>
    </w:rPr>
  </w:style>
  <w:style w:type="character" w:customStyle="1" w:styleId="superscript">
    <w:name w:val="superscript"/>
    <w:rsid w:val="00675341"/>
    <w:rPr>
      <w:rFonts w:ascii="Calibri" w:hAnsi="Calibri"/>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qFormat/>
    <w:rsid w:val="00675341"/>
    <w:rPr>
      <w:rFonts w:ascii="Cambria Math" w:hAnsi="Cambria Math"/>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Cambria Math" w:hAnsi="Cambria Math"/>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Calibri" w:hAnsi="Calibri"/>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Cambria Math" w:eastAsia="Yu Mincho Light" w:hAnsi="Cambria Math"/>
      <w:sz w:val="24"/>
      <w:lang w:val="fr-FR"/>
    </w:rPr>
  </w:style>
  <w:style w:type="paragraph" w:customStyle="1" w:styleId="p20">
    <w:name w:val="p20"/>
    <w:basedOn w:val="Normal"/>
    <w:rsid w:val="00675341"/>
    <w:pPr>
      <w:overflowPunct/>
      <w:autoSpaceDE/>
      <w:autoSpaceDN/>
      <w:adjustRightInd/>
      <w:snapToGrid w:val="0"/>
      <w:spacing w:after="0"/>
    </w:pPr>
    <w:rPr>
      <w:rFonts w:ascii="Cambria Math" w:eastAsia="Calibri" w:hAnsi="Cambria Math" w:cs="Cambria Math"/>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Cambria Math" w:hAnsi="Cambria Math"/>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Cambria Math" w:hAnsi="Cambria Math" w:cs="Cambria Math"/>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Calibri" w:eastAsia="Cambria Math" w:hAnsi="Calibri" w:cs="Cambria Math"/>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lang w:eastAsia="ja-JP"/>
    </w:rPr>
  </w:style>
  <w:style w:type="character" w:customStyle="1" w:styleId="1Char0">
    <w:name w:val="样式1 Char"/>
    <w:link w:val="1"/>
    <w:rsid w:val="00675341"/>
    <w:rPr>
      <w:rFonts w:ascii="Cambria Math" w:hAnsi="Cambria Math"/>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Cambria Math" w:hAnsi="Cambria Math"/>
      <w:sz w:val="36"/>
      <w:lang w:val="en-GB" w:eastAsia="en-US" w:bidi="ar-SA"/>
    </w:rPr>
  </w:style>
  <w:style w:type="character" w:customStyle="1" w:styleId="T1Char3">
    <w:name w:val="T1 Char3"/>
    <w:aliases w:val="Header 6 Char Char3"/>
    <w:rsid w:val="00675341"/>
    <w:rPr>
      <w:rFonts w:ascii="Cambria Math" w:hAnsi="Cambria Math"/>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ZapfDingbats"/>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JK-text-simpledoc">
    <w:name w:val="JK - text - simple doc"/>
    <w:basedOn w:val="BodyText"/>
    <w:autoRedefine/>
    <w:rsid w:val="00675341"/>
    <w:pPr>
      <w:numPr>
        <w:numId w:val="11"/>
      </w:numPr>
      <w:tabs>
        <w:tab w:val="num" w:pos="1097"/>
      </w:tabs>
      <w:overflowPunct/>
      <w:autoSpaceDE/>
      <w:autoSpaceDN/>
      <w:adjustRightInd/>
      <w:spacing w:after="120" w:line="288" w:lineRule="auto"/>
      <w:textAlignment w:val="auto"/>
    </w:pPr>
    <w:rPr>
      <w:rFonts w:ascii="Calibri" w:eastAsia="Cambria Math" w:hAnsi="Calibri" w:cs="Calibri"/>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20">
    <w:name w:val="吹き出し2"/>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w:eastAsia="Yu Mincho" w:hAnsi="Times"/>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Cambria Math" w:eastAsia="Yu Mincho Light" w:hAnsi="Cambria Math"/>
      <w:b/>
      <w:sz w:val="16"/>
      <w:lang w:eastAsia="ja-JP"/>
    </w:rPr>
  </w:style>
  <w:style w:type="paragraph" w:customStyle="1" w:styleId="Tdoctable">
    <w:name w:val="Tdoc_table"/>
    <w:rsid w:val="00675341"/>
    <w:pPr>
      <w:ind w:left="244" w:hanging="244"/>
    </w:pPr>
    <w:rPr>
      <w:rFonts w:ascii="Cambria Math" w:eastAsia="Calibri" w:hAnsi="Cambria Math"/>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Cambria Math" w:eastAsia="Calibri" w:hAnsi="Cambria Math"/>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Cambria Math" w:hAnsi="Cambria Math" w:cs="Cambria Math"/>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Cambria Math" w:hAnsi="Cambria Math"/>
      <w:sz w:val="36"/>
      <w:lang w:val="en-GB" w:eastAsia="en-US" w:bidi="ar-SA"/>
    </w:rPr>
  </w:style>
  <w:style w:type="character" w:customStyle="1" w:styleId="CharChar28">
    <w:name w:val="Char Char28"/>
    <w:rsid w:val="00675341"/>
    <w:rPr>
      <w:rFonts w:ascii="Cambria Math" w:hAnsi="Cambria Math"/>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Cambria Math" w:hAnsi="Cambria Math"/>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Cambria Math" w:hAnsi="Cambria Math"/>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Calibri" w:hAnsi="Calibri"/>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table" w:styleId="GridTable4-Accent5">
    <w:name w:val="Grid Table 4 Accent 5"/>
    <w:basedOn w:val="TableNormal"/>
    <w:uiPriority w:val="49"/>
    <w:rsid w:val="002A40B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PlaceholderText">
    <w:name w:val="Placeholder Text"/>
    <w:basedOn w:val="DefaultParagraphFont"/>
    <w:uiPriority w:val="99"/>
    <w:semiHidden/>
    <w:rsid w:val="000150C5"/>
    <w:rPr>
      <w:color w:val="808080"/>
    </w:rPr>
  </w:style>
  <w:style w:type="character" w:styleId="Mention">
    <w:name w:val="Mention"/>
    <w:basedOn w:val="DefaultParagraphFont"/>
    <w:uiPriority w:val="99"/>
    <w:unhideWhenUsed/>
    <w:rsid w:val="004D4FAF"/>
    <w:rPr>
      <w:color w:val="2B579A"/>
      <w:shd w:val="clear" w:color="auto" w:fill="E1DFDD"/>
    </w:rPr>
  </w:style>
  <w:style w:type="paragraph" w:customStyle="1" w:styleId="ListParagraph1">
    <w:name w:val="List Paragraph1"/>
    <w:basedOn w:val="Normal"/>
    <w:rsid w:val="007E3A93"/>
    <w:pPr>
      <w:widowControl w:val="0"/>
      <w:overflowPunct/>
      <w:autoSpaceDE/>
      <w:autoSpaceDN/>
      <w:adjustRightInd/>
      <w:spacing w:after="0"/>
      <w:ind w:firstLineChars="200" w:firstLine="420"/>
      <w:jc w:val="both"/>
      <w:textAlignment w:val="auto"/>
    </w:pPr>
    <w:rPr>
      <w:rFonts w:ascii="CG Times (WN)" w:eastAsia="Times New Roman" w:hAnsi="CG Times (WN)"/>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2558373">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910">
      <w:bodyDiv w:val="1"/>
      <w:marLeft w:val="0"/>
      <w:marRight w:val="0"/>
      <w:marTop w:val="0"/>
      <w:marBottom w:val="0"/>
      <w:divBdr>
        <w:top w:val="none" w:sz="0" w:space="0" w:color="auto"/>
        <w:left w:val="none" w:sz="0" w:space="0" w:color="auto"/>
        <w:bottom w:val="none" w:sz="0" w:space="0" w:color="auto"/>
        <w:right w:val="none" w:sz="0" w:space="0" w:color="auto"/>
      </w:divBdr>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36859622">
      <w:bodyDiv w:val="1"/>
      <w:marLeft w:val="0"/>
      <w:marRight w:val="0"/>
      <w:marTop w:val="0"/>
      <w:marBottom w:val="0"/>
      <w:divBdr>
        <w:top w:val="none" w:sz="0" w:space="0" w:color="auto"/>
        <w:left w:val="none" w:sz="0" w:space="0" w:color="auto"/>
        <w:bottom w:val="none" w:sz="0" w:space="0" w:color="auto"/>
        <w:right w:val="none" w:sz="0" w:space="0" w:color="auto"/>
      </w:divBdr>
    </w:div>
    <w:div w:id="51467446">
      <w:bodyDiv w:val="1"/>
      <w:marLeft w:val="0"/>
      <w:marRight w:val="0"/>
      <w:marTop w:val="0"/>
      <w:marBottom w:val="0"/>
      <w:divBdr>
        <w:top w:val="none" w:sz="0" w:space="0" w:color="auto"/>
        <w:left w:val="none" w:sz="0" w:space="0" w:color="auto"/>
        <w:bottom w:val="none" w:sz="0" w:space="0" w:color="auto"/>
        <w:right w:val="none" w:sz="0" w:space="0" w:color="auto"/>
      </w:divBdr>
    </w:div>
    <w:div w:id="59594917">
      <w:bodyDiv w:val="1"/>
      <w:marLeft w:val="0"/>
      <w:marRight w:val="0"/>
      <w:marTop w:val="0"/>
      <w:marBottom w:val="0"/>
      <w:divBdr>
        <w:top w:val="none" w:sz="0" w:space="0" w:color="auto"/>
        <w:left w:val="none" w:sz="0" w:space="0" w:color="auto"/>
        <w:bottom w:val="none" w:sz="0" w:space="0" w:color="auto"/>
        <w:right w:val="none" w:sz="0" w:space="0" w:color="auto"/>
      </w:divBdr>
    </w:div>
    <w:div w:id="59714616">
      <w:bodyDiv w:val="1"/>
      <w:marLeft w:val="0"/>
      <w:marRight w:val="0"/>
      <w:marTop w:val="0"/>
      <w:marBottom w:val="0"/>
      <w:divBdr>
        <w:top w:val="none" w:sz="0" w:space="0" w:color="auto"/>
        <w:left w:val="none" w:sz="0" w:space="0" w:color="auto"/>
        <w:bottom w:val="none" w:sz="0" w:space="0" w:color="auto"/>
        <w:right w:val="none" w:sz="0" w:space="0" w:color="auto"/>
      </w:divBdr>
    </w:div>
    <w:div w:id="62069082">
      <w:bodyDiv w:val="1"/>
      <w:marLeft w:val="0"/>
      <w:marRight w:val="0"/>
      <w:marTop w:val="0"/>
      <w:marBottom w:val="0"/>
      <w:divBdr>
        <w:top w:val="none" w:sz="0" w:space="0" w:color="auto"/>
        <w:left w:val="none" w:sz="0" w:space="0" w:color="auto"/>
        <w:bottom w:val="none" w:sz="0" w:space="0" w:color="auto"/>
        <w:right w:val="none" w:sz="0" w:space="0" w:color="auto"/>
      </w:divBdr>
      <w:divsChild>
        <w:div w:id="312221634">
          <w:marLeft w:val="490"/>
          <w:marRight w:val="0"/>
          <w:marTop w:val="0"/>
          <w:marBottom w:val="160"/>
          <w:divBdr>
            <w:top w:val="none" w:sz="0" w:space="0" w:color="auto"/>
            <w:left w:val="none" w:sz="0" w:space="0" w:color="auto"/>
            <w:bottom w:val="none" w:sz="0" w:space="0" w:color="auto"/>
            <w:right w:val="none" w:sz="0" w:space="0" w:color="auto"/>
          </w:divBdr>
        </w:div>
        <w:div w:id="387415259">
          <w:marLeft w:val="965"/>
          <w:marRight w:val="0"/>
          <w:marTop w:val="0"/>
          <w:marBottom w:val="160"/>
          <w:divBdr>
            <w:top w:val="none" w:sz="0" w:space="0" w:color="auto"/>
            <w:left w:val="none" w:sz="0" w:space="0" w:color="auto"/>
            <w:bottom w:val="none" w:sz="0" w:space="0" w:color="auto"/>
            <w:right w:val="none" w:sz="0" w:space="0" w:color="auto"/>
          </w:divBdr>
        </w:div>
        <w:div w:id="776873896">
          <w:marLeft w:val="490"/>
          <w:marRight w:val="0"/>
          <w:marTop w:val="0"/>
          <w:marBottom w:val="160"/>
          <w:divBdr>
            <w:top w:val="none" w:sz="0" w:space="0" w:color="auto"/>
            <w:left w:val="none" w:sz="0" w:space="0" w:color="auto"/>
            <w:bottom w:val="none" w:sz="0" w:space="0" w:color="auto"/>
            <w:right w:val="none" w:sz="0" w:space="0" w:color="auto"/>
          </w:divBdr>
        </w:div>
        <w:div w:id="856381968">
          <w:marLeft w:val="965"/>
          <w:marRight w:val="0"/>
          <w:marTop w:val="0"/>
          <w:marBottom w:val="160"/>
          <w:divBdr>
            <w:top w:val="none" w:sz="0" w:space="0" w:color="auto"/>
            <w:left w:val="none" w:sz="0" w:space="0" w:color="auto"/>
            <w:bottom w:val="none" w:sz="0" w:space="0" w:color="auto"/>
            <w:right w:val="none" w:sz="0" w:space="0" w:color="auto"/>
          </w:divBdr>
        </w:div>
        <w:div w:id="1455709998">
          <w:marLeft w:val="965"/>
          <w:marRight w:val="0"/>
          <w:marTop w:val="0"/>
          <w:marBottom w:val="160"/>
          <w:divBdr>
            <w:top w:val="none" w:sz="0" w:space="0" w:color="auto"/>
            <w:left w:val="none" w:sz="0" w:space="0" w:color="auto"/>
            <w:bottom w:val="none" w:sz="0" w:space="0" w:color="auto"/>
            <w:right w:val="none" w:sz="0" w:space="0" w:color="auto"/>
          </w:divBdr>
        </w:div>
        <w:div w:id="1609778547">
          <w:marLeft w:val="965"/>
          <w:marRight w:val="0"/>
          <w:marTop w:val="0"/>
          <w:marBottom w:val="160"/>
          <w:divBdr>
            <w:top w:val="none" w:sz="0" w:space="0" w:color="auto"/>
            <w:left w:val="none" w:sz="0" w:space="0" w:color="auto"/>
            <w:bottom w:val="none" w:sz="0" w:space="0" w:color="auto"/>
            <w:right w:val="none" w:sz="0" w:space="0" w:color="auto"/>
          </w:divBdr>
        </w:div>
        <w:div w:id="2134708264">
          <w:marLeft w:val="965"/>
          <w:marRight w:val="0"/>
          <w:marTop w:val="0"/>
          <w:marBottom w:val="160"/>
          <w:divBdr>
            <w:top w:val="none" w:sz="0" w:space="0" w:color="auto"/>
            <w:left w:val="none" w:sz="0" w:space="0" w:color="auto"/>
            <w:bottom w:val="none" w:sz="0" w:space="0" w:color="auto"/>
            <w:right w:val="none" w:sz="0" w:space="0" w:color="auto"/>
          </w:divBdr>
        </w:div>
      </w:divsChild>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80877989">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97914451">
      <w:bodyDiv w:val="1"/>
      <w:marLeft w:val="0"/>
      <w:marRight w:val="0"/>
      <w:marTop w:val="0"/>
      <w:marBottom w:val="0"/>
      <w:divBdr>
        <w:top w:val="none" w:sz="0" w:space="0" w:color="auto"/>
        <w:left w:val="none" w:sz="0" w:space="0" w:color="auto"/>
        <w:bottom w:val="none" w:sz="0" w:space="0" w:color="auto"/>
        <w:right w:val="none" w:sz="0" w:space="0" w:color="auto"/>
      </w:divBdr>
      <w:divsChild>
        <w:div w:id="268776966">
          <w:marLeft w:val="1166"/>
          <w:marRight w:val="0"/>
          <w:marTop w:val="0"/>
          <w:marBottom w:val="120"/>
          <w:divBdr>
            <w:top w:val="none" w:sz="0" w:space="0" w:color="auto"/>
            <w:left w:val="none" w:sz="0" w:space="0" w:color="auto"/>
            <w:bottom w:val="none" w:sz="0" w:space="0" w:color="auto"/>
            <w:right w:val="none" w:sz="0" w:space="0" w:color="auto"/>
          </w:divBdr>
        </w:div>
        <w:div w:id="563150906">
          <w:marLeft w:val="547"/>
          <w:marRight w:val="0"/>
          <w:marTop w:val="0"/>
          <w:marBottom w:val="120"/>
          <w:divBdr>
            <w:top w:val="none" w:sz="0" w:space="0" w:color="auto"/>
            <w:left w:val="none" w:sz="0" w:space="0" w:color="auto"/>
            <w:bottom w:val="none" w:sz="0" w:space="0" w:color="auto"/>
            <w:right w:val="none" w:sz="0" w:space="0" w:color="auto"/>
          </w:divBdr>
        </w:div>
        <w:div w:id="872036266">
          <w:marLeft w:val="547"/>
          <w:marRight w:val="0"/>
          <w:marTop w:val="0"/>
          <w:marBottom w:val="120"/>
          <w:divBdr>
            <w:top w:val="none" w:sz="0" w:space="0" w:color="auto"/>
            <w:left w:val="none" w:sz="0" w:space="0" w:color="auto"/>
            <w:bottom w:val="none" w:sz="0" w:space="0" w:color="auto"/>
            <w:right w:val="none" w:sz="0" w:space="0" w:color="auto"/>
          </w:divBdr>
        </w:div>
        <w:div w:id="1055009525">
          <w:marLeft w:val="547"/>
          <w:marRight w:val="0"/>
          <w:marTop w:val="0"/>
          <w:marBottom w:val="120"/>
          <w:divBdr>
            <w:top w:val="none" w:sz="0" w:space="0" w:color="auto"/>
            <w:left w:val="none" w:sz="0" w:space="0" w:color="auto"/>
            <w:bottom w:val="none" w:sz="0" w:space="0" w:color="auto"/>
            <w:right w:val="none" w:sz="0" w:space="0" w:color="auto"/>
          </w:divBdr>
        </w:div>
        <w:div w:id="1139225913">
          <w:marLeft w:val="547"/>
          <w:marRight w:val="0"/>
          <w:marTop w:val="0"/>
          <w:marBottom w:val="120"/>
          <w:divBdr>
            <w:top w:val="none" w:sz="0" w:space="0" w:color="auto"/>
            <w:left w:val="none" w:sz="0" w:space="0" w:color="auto"/>
            <w:bottom w:val="none" w:sz="0" w:space="0" w:color="auto"/>
            <w:right w:val="none" w:sz="0" w:space="0" w:color="auto"/>
          </w:divBdr>
        </w:div>
        <w:div w:id="1504279491">
          <w:marLeft w:val="547"/>
          <w:marRight w:val="0"/>
          <w:marTop w:val="0"/>
          <w:marBottom w:val="120"/>
          <w:divBdr>
            <w:top w:val="none" w:sz="0" w:space="0" w:color="auto"/>
            <w:left w:val="none" w:sz="0" w:space="0" w:color="auto"/>
            <w:bottom w:val="none" w:sz="0" w:space="0" w:color="auto"/>
            <w:right w:val="none" w:sz="0" w:space="0" w:color="auto"/>
          </w:divBdr>
        </w:div>
        <w:div w:id="1915434518">
          <w:marLeft w:val="547"/>
          <w:marRight w:val="0"/>
          <w:marTop w:val="0"/>
          <w:marBottom w:val="120"/>
          <w:divBdr>
            <w:top w:val="none" w:sz="0" w:space="0" w:color="auto"/>
            <w:left w:val="none" w:sz="0" w:space="0" w:color="auto"/>
            <w:bottom w:val="none" w:sz="0" w:space="0" w:color="auto"/>
            <w:right w:val="none" w:sz="0" w:space="0" w:color="auto"/>
          </w:divBdr>
        </w:div>
        <w:div w:id="1942101921">
          <w:marLeft w:val="547"/>
          <w:marRight w:val="0"/>
          <w:marTop w:val="0"/>
          <w:marBottom w:val="120"/>
          <w:divBdr>
            <w:top w:val="none" w:sz="0" w:space="0" w:color="auto"/>
            <w:left w:val="none" w:sz="0" w:space="0" w:color="auto"/>
            <w:bottom w:val="none" w:sz="0" w:space="0" w:color="auto"/>
            <w:right w:val="none" w:sz="0" w:space="0" w:color="auto"/>
          </w:divBdr>
        </w:div>
        <w:div w:id="2098284312">
          <w:marLeft w:val="547"/>
          <w:marRight w:val="0"/>
          <w:marTop w:val="0"/>
          <w:marBottom w:val="120"/>
          <w:divBdr>
            <w:top w:val="none" w:sz="0" w:space="0" w:color="auto"/>
            <w:left w:val="none" w:sz="0" w:space="0" w:color="auto"/>
            <w:bottom w:val="none" w:sz="0" w:space="0" w:color="auto"/>
            <w:right w:val="none" w:sz="0" w:space="0" w:color="auto"/>
          </w:divBdr>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6967252">
      <w:bodyDiv w:val="1"/>
      <w:marLeft w:val="0"/>
      <w:marRight w:val="0"/>
      <w:marTop w:val="0"/>
      <w:marBottom w:val="0"/>
      <w:divBdr>
        <w:top w:val="none" w:sz="0" w:space="0" w:color="auto"/>
        <w:left w:val="none" w:sz="0" w:space="0" w:color="auto"/>
        <w:bottom w:val="none" w:sz="0" w:space="0" w:color="auto"/>
        <w:right w:val="none" w:sz="0" w:space="0" w:color="auto"/>
      </w:divBdr>
    </w:div>
    <w:div w:id="131606636">
      <w:bodyDiv w:val="1"/>
      <w:marLeft w:val="0"/>
      <w:marRight w:val="0"/>
      <w:marTop w:val="0"/>
      <w:marBottom w:val="0"/>
      <w:divBdr>
        <w:top w:val="none" w:sz="0" w:space="0" w:color="auto"/>
        <w:left w:val="none" w:sz="0" w:space="0" w:color="auto"/>
        <w:bottom w:val="none" w:sz="0" w:space="0" w:color="auto"/>
        <w:right w:val="none" w:sz="0" w:space="0" w:color="auto"/>
      </w:divBdr>
    </w:div>
    <w:div w:id="138772365">
      <w:bodyDiv w:val="1"/>
      <w:marLeft w:val="0"/>
      <w:marRight w:val="0"/>
      <w:marTop w:val="0"/>
      <w:marBottom w:val="0"/>
      <w:divBdr>
        <w:top w:val="none" w:sz="0" w:space="0" w:color="auto"/>
        <w:left w:val="none" w:sz="0" w:space="0" w:color="auto"/>
        <w:bottom w:val="none" w:sz="0" w:space="0" w:color="auto"/>
        <w:right w:val="none" w:sz="0" w:space="0" w:color="auto"/>
      </w:divBdr>
    </w:div>
    <w:div w:id="140125862">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51914454">
      <w:bodyDiv w:val="1"/>
      <w:marLeft w:val="0"/>
      <w:marRight w:val="0"/>
      <w:marTop w:val="0"/>
      <w:marBottom w:val="0"/>
      <w:divBdr>
        <w:top w:val="none" w:sz="0" w:space="0" w:color="auto"/>
        <w:left w:val="none" w:sz="0" w:space="0" w:color="auto"/>
        <w:bottom w:val="none" w:sz="0" w:space="0" w:color="auto"/>
        <w:right w:val="none" w:sz="0" w:space="0" w:color="auto"/>
      </w:divBdr>
    </w:div>
    <w:div w:id="152912511">
      <w:bodyDiv w:val="1"/>
      <w:marLeft w:val="0"/>
      <w:marRight w:val="0"/>
      <w:marTop w:val="0"/>
      <w:marBottom w:val="0"/>
      <w:divBdr>
        <w:top w:val="none" w:sz="0" w:space="0" w:color="auto"/>
        <w:left w:val="none" w:sz="0" w:space="0" w:color="auto"/>
        <w:bottom w:val="none" w:sz="0" w:space="0" w:color="auto"/>
        <w:right w:val="none" w:sz="0" w:space="0" w:color="auto"/>
      </w:divBdr>
    </w:div>
    <w:div w:id="170225075">
      <w:bodyDiv w:val="1"/>
      <w:marLeft w:val="0"/>
      <w:marRight w:val="0"/>
      <w:marTop w:val="0"/>
      <w:marBottom w:val="0"/>
      <w:divBdr>
        <w:top w:val="none" w:sz="0" w:space="0" w:color="auto"/>
        <w:left w:val="none" w:sz="0" w:space="0" w:color="auto"/>
        <w:bottom w:val="none" w:sz="0" w:space="0" w:color="auto"/>
        <w:right w:val="none" w:sz="0" w:space="0" w:color="auto"/>
      </w:divBdr>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78740807">
      <w:bodyDiv w:val="1"/>
      <w:marLeft w:val="0"/>
      <w:marRight w:val="0"/>
      <w:marTop w:val="0"/>
      <w:marBottom w:val="0"/>
      <w:divBdr>
        <w:top w:val="none" w:sz="0" w:space="0" w:color="auto"/>
        <w:left w:val="none" w:sz="0" w:space="0" w:color="auto"/>
        <w:bottom w:val="none" w:sz="0" w:space="0" w:color="auto"/>
        <w:right w:val="none" w:sz="0" w:space="0" w:color="auto"/>
      </w:divBdr>
      <w:divsChild>
        <w:div w:id="1977375273">
          <w:marLeft w:val="0"/>
          <w:marRight w:val="0"/>
          <w:marTop w:val="0"/>
          <w:marBottom w:val="0"/>
          <w:divBdr>
            <w:top w:val="none" w:sz="0" w:space="0" w:color="auto"/>
            <w:left w:val="none" w:sz="0" w:space="0" w:color="auto"/>
            <w:bottom w:val="none" w:sz="0" w:space="0" w:color="auto"/>
            <w:right w:val="none" w:sz="0" w:space="0" w:color="auto"/>
          </w:divBdr>
        </w:div>
      </w:divsChild>
    </w:div>
    <w:div w:id="190067864">
      <w:bodyDiv w:val="1"/>
      <w:marLeft w:val="0"/>
      <w:marRight w:val="0"/>
      <w:marTop w:val="0"/>
      <w:marBottom w:val="0"/>
      <w:divBdr>
        <w:top w:val="none" w:sz="0" w:space="0" w:color="auto"/>
        <w:left w:val="none" w:sz="0" w:space="0" w:color="auto"/>
        <w:bottom w:val="none" w:sz="0" w:space="0" w:color="auto"/>
        <w:right w:val="none" w:sz="0" w:space="0" w:color="auto"/>
      </w:divBdr>
    </w:div>
    <w:div w:id="194002175">
      <w:bodyDiv w:val="1"/>
      <w:marLeft w:val="0"/>
      <w:marRight w:val="0"/>
      <w:marTop w:val="0"/>
      <w:marBottom w:val="0"/>
      <w:divBdr>
        <w:top w:val="none" w:sz="0" w:space="0" w:color="auto"/>
        <w:left w:val="none" w:sz="0" w:space="0" w:color="auto"/>
        <w:bottom w:val="none" w:sz="0" w:space="0" w:color="auto"/>
        <w:right w:val="none" w:sz="0" w:space="0" w:color="auto"/>
      </w:divBdr>
      <w:divsChild>
        <w:div w:id="431513743">
          <w:marLeft w:val="1166"/>
          <w:marRight w:val="0"/>
          <w:marTop w:val="0"/>
          <w:marBottom w:val="0"/>
          <w:divBdr>
            <w:top w:val="none" w:sz="0" w:space="0" w:color="auto"/>
            <w:left w:val="none" w:sz="0" w:space="0" w:color="auto"/>
            <w:bottom w:val="none" w:sz="0" w:space="0" w:color="auto"/>
            <w:right w:val="none" w:sz="0" w:space="0" w:color="auto"/>
          </w:divBdr>
        </w:div>
        <w:div w:id="730886975">
          <w:marLeft w:val="547"/>
          <w:marRight w:val="0"/>
          <w:marTop w:val="0"/>
          <w:marBottom w:val="0"/>
          <w:divBdr>
            <w:top w:val="none" w:sz="0" w:space="0" w:color="auto"/>
            <w:left w:val="none" w:sz="0" w:space="0" w:color="auto"/>
            <w:bottom w:val="none" w:sz="0" w:space="0" w:color="auto"/>
            <w:right w:val="none" w:sz="0" w:space="0" w:color="auto"/>
          </w:divBdr>
        </w:div>
        <w:div w:id="895896117">
          <w:marLeft w:val="1166"/>
          <w:marRight w:val="0"/>
          <w:marTop w:val="0"/>
          <w:marBottom w:val="0"/>
          <w:divBdr>
            <w:top w:val="none" w:sz="0" w:space="0" w:color="auto"/>
            <w:left w:val="none" w:sz="0" w:space="0" w:color="auto"/>
            <w:bottom w:val="none" w:sz="0" w:space="0" w:color="auto"/>
            <w:right w:val="none" w:sz="0" w:space="0" w:color="auto"/>
          </w:divBdr>
        </w:div>
        <w:div w:id="932859833">
          <w:marLeft w:val="1166"/>
          <w:marRight w:val="0"/>
          <w:marTop w:val="0"/>
          <w:marBottom w:val="0"/>
          <w:divBdr>
            <w:top w:val="none" w:sz="0" w:space="0" w:color="auto"/>
            <w:left w:val="none" w:sz="0" w:space="0" w:color="auto"/>
            <w:bottom w:val="none" w:sz="0" w:space="0" w:color="auto"/>
            <w:right w:val="none" w:sz="0" w:space="0" w:color="auto"/>
          </w:divBdr>
        </w:div>
        <w:div w:id="1052121607">
          <w:marLeft w:val="1166"/>
          <w:marRight w:val="0"/>
          <w:marTop w:val="0"/>
          <w:marBottom w:val="0"/>
          <w:divBdr>
            <w:top w:val="none" w:sz="0" w:space="0" w:color="auto"/>
            <w:left w:val="none" w:sz="0" w:space="0" w:color="auto"/>
            <w:bottom w:val="none" w:sz="0" w:space="0" w:color="auto"/>
            <w:right w:val="none" w:sz="0" w:space="0" w:color="auto"/>
          </w:divBdr>
        </w:div>
        <w:div w:id="1471820388">
          <w:marLeft w:val="1166"/>
          <w:marRight w:val="0"/>
          <w:marTop w:val="0"/>
          <w:marBottom w:val="0"/>
          <w:divBdr>
            <w:top w:val="none" w:sz="0" w:space="0" w:color="auto"/>
            <w:left w:val="none" w:sz="0" w:space="0" w:color="auto"/>
            <w:bottom w:val="none" w:sz="0" w:space="0" w:color="auto"/>
            <w:right w:val="none" w:sz="0" w:space="0" w:color="auto"/>
          </w:divBdr>
        </w:div>
        <w:div w:id="1543134685">
          <w:marLeft w:val="1166"/>
          <w:marRight w:val="0"/>
          <w:marTop w:val="0"/>
          <w:marBottom w:val="0"/>
          <w:divBdr>
            <w:top w:val="none" w:sz="0" w:space="0" w:color="auto"/>
            <w:left w:val="none" w:sz="0" w:space="0" w:color="auto"/>
            <w:bottom w:val="none" w:sz="0" w:space="0" w:color="auto"/>
            <w:right w:val="none" w:sz="0" w:space="0" w:color="auto"/>
          </w:divBdr>
        </w:div>
        <w:div w:id="1707756555">
          <w:marLeft w:val="1166"/>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10389816">
      <w:bodyDiv w:val="1"/>
      <w:marLeft w:val="0"/>
      <w:marRight w:val="0"/>
      <w:marTop w:val="0"/>
      <w:marBottom w:val="0"/>
      <w:divBdr>
        <w:top w:val="none" w:sz="0" w:space="0" w:color="auto"/>
        <w:left w:val="none" w:sz="0" w:space="0" w:color="auto"/>
        <w:bottom w:val="none" w:sz="0" w:space="0" w:color="auto"/>
        <w:right w:val="none" w:sz="0" w:space="0" w:color="auto"/>
      </w:divBdr>
    </w:div>
    <w:div w:id="219481188">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223098">
      <w:bodyDiv w:val="1"/>
      <w:marLeft w:val="0"/>
      <w:marRight w:val="0"/>
      <w:marTop w:val="0"/>
      <w:marBottom w:val="0"/>
      <w:divBdr>
        <w:top w:val="none" w:sz="0" w:space="0" w:color="auto"/>
        <w:left w:val="none" w:sz="0" w:space="0" w:color="auto"/>
        <w:bottom w:val="none" w:sz="0" w:space="0" w:color="auto"/>
        <w:right w:val="none" w:sz="0" w:space="0" w:color="auto"/>
      </w:divBdr>
      <w:divsChild>
        <w:div w:id="650405982">
          <w:marLeft w:val="490"/>
          <w:marRight w:val="0"/>
          <w:marTop w:val="0"/>
          <w:marBottom w:val="160"/>
          <w:divBdr>
            <w:top w:val="none" w:sz="0" w:space="0" w:color="auto"/>
            <w:left w:val="none" w:sz="0" w:space="0" w:color="auto"/>
            <w:bottom w:val="none" w:sz="0" w:space="0" w:color="auto"/>
            <w:right w:val="none" w:sz="0" w:space="0" w:color="auto"/>
          </w:divBdr>
        </w:div>
        <w:div w:id="1554728942">
          <w:marLeft w:val="490"/>
          <w:marRight w:val="0"/>
          <w:marTop w:val="0"/>
          <w:marBottom w:val="16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6576067">
      <w:bodyDiv w:val="1"/>
      <w:marLeft w:val="0"/>
      <w:marRight w:val="0"/>
      <w:marTop w:val="0"/>
      <w:marBottom w:val="0"/>
      <w:divBdr>
        <w:top w:val="none" w:sz="0" w:space="0" w:color="auto"/>
        <w:left w:val="none" w:sz="0" w:space="0" w:color="auto"/>
        <w:bottom w:val="none" w:sz="0" w:space="0" w:color="auto"/>
        <w:right w:val="none" w:sz="0" w:space="0" w:color="auto"/>
      </w:divBdr>
    </w:div>
    <w:div w:id="249167988">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73637061">
      <w:bodyDiv w:val="1"/>
      <w:marLeft w:val="0"/>
      <w:marRight w:val="0"/>
      <w:marTop w:val="0"/>
      <w:marBottom w:val="0"/>
      <w:divBdr>
        <w:top w:val="none" w:sz="0" w:space="0" w:color="auto"/>
        <w:left w:val="none" w:sz="0" w:space="0" w:color="auto"/>
        <w:bottom w:val="none" w:sz="0" w:space="0" w:color="auto"/>
        <w:right w:val="none" w:sz="0" w:space="0" w:color="auto"/>
      </w:divBdr>
    </w:div>
    <w:div w:id="287012690">
      <w:bodyDiv w:val="1"/>
      <w:marLeft w:val="0"/>
      <w:marRight w:val="0"/>
      <w:marTop w:val="0"/>
      <w:marBottom w:val="0"/>
      <w:divBdr>
        <w:top w:val="none" w:sz="0" w:space="0" w:color="auto"/>
        <w:left w:val="none" w:sz="0" w:space="0" w:color="auto"/>
        <w:bottom w:val="none" w:sz="0" w:space="0" w:color="auto"/>
        <w:right w:val="none" w:sz="0" w:space="0" w:color="auto"/>
      </w:divBdr>
    </w:div>
    <w:div w:id="295068028">
      <w:bodyDiv w:val="1"/>
      <w:marLeft w:val="0"/>
      <w:marRight w:val="0"/>
      <w:marTop w:val="0"/>
      <w:marBottom w:val="0"/>
      <w:divBdr>
        <w:top w:val="none" w:sz="0" w:space="0" w:color="auto"/>
        <w:left w:val="none" w:sz="0" w:space="0" w:color="auto"/>
        <w:bottom w:val="none" w:sz="0" w:space="0" w:color="auto"/>
        <w:right w:val="none" w:sz="0" w:space="0" w:color="auto"/>
      </w:divBdr>
    </w:div>
    <w:div w:id="301691492">
      <w:bodyDiv w:val="1"/>
      <w:marLeft w:val="0"/>
      <w:marRight w:val="0"/>
      <w:marTop w:val="0"/>
      <w:marBottom w:val="0"/>
      <w:divBdr>
        <w:top w:val="none" w:sz="0" w:space="0" w:color="auto"/>
        <w:left w:val="none" w:sz="0" w:space="0" w:color="auto"/>
        <w:bottom w:val="none" w:sz="0" w:space="0" w:color="auto"/>
        <w:right w:val="none" w:sz="0" w:space="0" w:color="auto"/>
      </w:divBdr>
    </w:div>
    <w:div w:id="307782378">
      <w:bodyDiv w:val="1"/>
      <w:marLeft w:val="0"/>
      <w:marRight w:val="0"/>
      <w:marTop w:val="0"/>
      <w:marBottom w:val="0"/>
      <w:divBdr>
        <w:top w:val="none" w:sz="0" w:space="0" w:color="auto"/>
        <w:left w:val="none" w:sz="0" w:space="0" w:color="auto"/>
        <w:bottom w:val="none" w:sz="0" w:space="0" w:color="auto"/>
        <w:right w:val="none" w:sz="0" w:space="0" w:color="auto"/>
      </w:divBdr>
    </w:div>
    <w:div w:id="312876568">
      <w:bodyDiv w:val="1"/>
      <w:marLeft w:val="0"/>
      <w:marRight w:val="0"/>
      <w:marTop w:val="0"/>
      <w:marBottom w:val="0"/>
      <w:divBdr>
        <w:top w:val="none" w:sz="0" w:space="0" w:color="auto"/>
        <w:left w:val="none" w:sz="0" w:space="0" w:color="auto"/>
        <w:bottom w:val="none" w:sz="0" w:space="0" w:color="auto"/>
        <w:right w:val="none" w:sz="0" w:space="0" w:color="auto"/>
      </w:divBdr>
      <w:divsChild>
        <w:div w:id="541526557">
          <w:marLeft w:val="0"/>
          <w:marRight w:val="0"/>
          <w:marTop w:val="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628783">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316858">
      <w:bodyDiv w:val="1"/>
      <w:marLeft w:val="0"/>
      <w:marRight w:val="0"/>
      <w:marTop w:val="0"/>
      <w:marBottom w:val="0"/>
      <w:divBdr>
        <w:top w:val="none" w:sz="0" w:space="0" w:color="auto"/>
        <w:left w:val="none" w:sz="0" w:space="0" w:color="auto"/>
        <w:bottom w:val="none" w:sz="0" w:space="0" w:color="auto"/>
        <w:right w:val="none" w:sz="0" w:space="0" w:color="auto"/>
      </w:divBdr>
    </w:div>
    <w:div w:id="407121117">
      <w:bodyDiv w:val="1"/>
      <w:marLeft w:val="0"/>
      <w:marRight w:val="0"/>
      <w:marTop w:val="0"/>
      <w:marBottom w:val="0"/>
      <w:divBdr>
        <w:top w:val="none" w:sz="0" w:space="0" w:color="auto"/>
        <w:left w:val="none" w:sz="0" w:space="0" w:color="auto"/>
        <w:bottom w:val="none" w:sz="0" w:space="0" w:color="auto"/>
        <w:right w:val="none" w:sz="0" w:space="0" w:color="auto"/>
      </w:divBdr>
    </w:div>
    <w:div w:id="420639288">
      <w:bodyDiv w:val="1"/>
      <w:marLeft w:val="0"/>
      <w:marRight w:val="0"/>
      <w:marTop w:val="0"/>
      <w:marBottom w:val="0"/>
      <w:divBdr>
        <w:top w:val="none" w:sz="0" w:space="0" w:color="auto"/>
        <w:left w:val="none" w:sz="0" w:space="0" w:color="auto"/>
        <w:bottom w:val="none" w:sz="0" w:space="0" w:color="auto"/>
        <w:right w:val="none" w:sz="0" w:space="0" w:color="auto"/>
      </w:divBdr>
    </w:div>
    <w:div w:id="424571839">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109738">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230772">
      <w:bodyDiv w:val="1"/>
      <w:marLeft w:val="0"/>
      <w:marRight w:val="0"/>
      <w:marTop w:val="0"/>
      <w:marBottom w:val="0"/>
      <w:divBdr>
        <w:top w:val="none" w:sz="0" w:space="0" w:color="auto"/>
        <w:left w:val="none" w:sz="0" w:space="0" w:color="auto"/>
        <w:bottom w:val="none" w:sz="0" w:space="0" w:color="auto"/>
        <w:right w:val="none" w:sz="0" w:space="0" w:color="auto"/>
      </w:divBdr>
    </w:div>
    <w:div w:id="444694077">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224398">
      <w:bodyDiv w:val="1"/>
      <w:marLeft w:val="0"/>
      <w:marRight w:val="0"/>
      <w:marTop w:val="0"/>
      <w:marBottom w:val="0"/>
      <w:divBdr>
        <w:top w:val="none" w:sz="0" w:space="0" w:color="auto"/>
        <w:left w:val="none" w:sz="0" w:space="0" w:color="auto"/>
        <w:bottom w:val="none" w:sz="0" w:space="0" w:color="auto"/>
        <w:right w:val="none" w:sz="0" w:space="0" w:color="auto"/>
      </w:divBdr>
    </w:div>
    <w:div w:id="462700972">
      <w:bodyDiv w:val="1"/>
      <w:marLeft w:val="0"/>
      <w:marRight w:val="0"/>
      <w:marTop w:val="0"/>
      <w:marBottom w:val="0"/>
      <w:divBdr>
        <w:top w:val="none" w:sz="0" w:space="0" w:color="auto"/>
        <w:left w:val="none" w:sz="0" w:space="0" w:color="auto"/>
        <w:bottom w:val="none" w:sz="0" w:space="0" w:color="auto"/>
        <w:right w:val="none" w:sz="0" w:space="0" w:color="auto"/>
      </w:divBdr>
      <w:divsChild>
        <w:div w:id="763232323">
          <w:marLeft w:val="0"/>
          <w:marRight w:val="0"/>
          <w:marTop w:val="0"/>
          <w:marBottom w:val="0"/>
          <w:divBdr>
            <w:top w:val="none" w:sz="0" w:space="0" w:color="auto"/>
            <w:left w:val="none" w:sz="0" w:space="0" w:color="auto"/>
            <w:bottom w:val="none" w:sz="0" w:space="0" w:color="auto"/>
            <w:right w:val="none" w:sz="0" w:space="0" w:color="auto"/>
          </w:divBdr>
        </w:div>
      </w:divsChild>
    </w:div>
    <w:div w:id="509566065">
      <w:bodyDiv w:val="1"/>
      <w:marLeft w:val="0"/>
      <w:marRight w:val="0"/>
      <w:marTop w:val="0"/>
      <w:marBottom w:val="0"/>
      <w:divBdr>
        <w:top w:val="none" w:sz="0" w:space="0" w:color="auto"/>
        <w:left w:val="none" w:sz="0" w:space="0" w:color="auto"/>
        <w:bottom w:val="none" w:sz="0" w:space="0" w:color="auto"/>
        <w:right w:val="none" w:sz="0" w:space="0" w:color="auto"/>
      </w:divBdr>
    </w:div>
    <w:div w:id="536235971">
      <w:bodyDiv w:val="1"/>
      <w:marLeft w:val="0"/>
      <w:marRight w:val="0"/>
      <w:marTop w:val="0"/>
      <w:marBottom w:val="0"/>
      <w:divBdr>
        <w:top w:val="none" w:sz="0" w:space="0" w:color="auto"/>
        <w:left w:val="none" w:sz="0" w:space="0" w:color="auto"/>
        <w:bottom w:val="none" w:sz="0" w:space="0" w:color="auto"/>
        <w:right w:val="none" w:sz="0" w:space="0" w:color="auto"/>
      </w:divBdr>
    </w:div>
    <w:div w:id="551042507">
      <w:bodyDiv w:val="1"/>
      <w:marLeft w:val="0"/>
      <w:marRight w:val="0"/>
      <w:marTop w:val="0"/>
      <w:marBottom w:val="0"/>
      <w:divBdr>
        <w:top w:val="none" w:sz="0" w:space="0" w:color="auto"/>
        <w:left w:val="none" w:sz="0" w:space="0" w:color="auto"/>
        <w:bottom w:val="none" w:sz="0" w:space="0" w:color="auto"/>
        <w:right w:val="none" w:sz="0" w:space="0" w:color="auto"/>
      </w:divBdr>
    </w:div>
    <w:div w:id="559750088">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68462468">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5726775">
      <w:bodyDiv w:val="1"/>
      <w:marLeft w:val="0"/>
      <w:marRight w:val="0"/>
      <w:marTop w:val="0"/>
      <w:marBottom w:val="0"/>
      <w:divBdr>
        <w:top w:val="none" w:sz="0" w:space="0" w:color="auto"/>
        <w:left w:val="none" w:sz="0" w:space="0" w:color="auto"/>
        <w:bottom w:val="none" w:sz="0" w:space="0" w:color="auto"/>
        <w:right w:val="none" w:sz="0" w:space="0" w:color="auto"/>
      </w:divBdr>
    </w:div>
    <w:div w:id="587037704">
      <w:bodyDiv w:val="1"/>
      <w:marLeft w:val="0"/>
      <w:marRight w:val="0"/>
      <w:marTop w:val="0"/>
      <w:marBottom w:val="0"/>
      <w:divBdr>
        <w:top w:val="none" w:sz="0" w:space="0" w:color="auto"/>
        <w:left w:val="none" w:sz="0" w:space="0" w:color="auto"/>
        <w:bottom w:val="none" w:sz="0" w:space="0" w:color="auto"/>
        <w:right w:val="none" w:sz="0" w:space="0" w:color="auto"/>
      </w:divBdr>
    </w:div>
    <w:div w:id="595942194">
      <w:bodyDiv w:val="1"/>
      <w:marLeft w:val="0"/>
      <w:marRight w:val="0"/>
      <w:marTop w:val="0"/>
      <w:marBottom w:val="0"/>
      <w:divBdr>
        <w:top w:val="none" w:sz="0" w:space="0" w:color="auto"/>
        <w:left w:val="none" w:sz="0" w:space="0" w:color="auto"/>
        <w:bottom w:val="none" w:sz="0" w:space="0" w:color="auto"/>
        <w:right w:val="none" w:sz="0" w:space="0" w:color="auto"/>
      </w:divBdr>
      <w:divsChild>
        <w:div w:id="544828835">
          <w:marLeft w:val="0"/>
          <w:marRight w:val="0"/>
          <w:marTop w:val="0"/>
          <w:marBottom w:val="0"/>
          <w:divBdr>
            <w:top w:val="none" w:sz="0" w:space="0" w:color="auto"/>
            <w:left w:val="none" w:sz="0" w:space="0" w:color="auto"/>
            <w:bottom w:val="none" w:sz="0" w:space="0" w:color="auto"/>
            <w:right w:val="none" w:sz="0" w:space="0" w:color="auto"/>
          </w:divBdr>
        </w:div>
      </w:divsChild>
    </w:div>
    <w:div w:id="607658694">
      <w:bodyDiv w:val="1"/>
      <w:marLeft w:val="0"/>
      <w:marRight w:val="0"/>
      <w:marTop w:val="0"/>
      <w:marBottom w:val="0"/>
      <w:divBdr>
        <w:top w:val="none" w:sz="0" w:space="0" w:color="auto"/>
        <w:left w:val="none" w:sz="0" w:space="0" w:color="auto"/>
        <w:bottom w:val="none" w:sz="0" w:space="0" w:color="auto"/>
        <w:right w:val="none" w:sz="0" w:space="0" w:color="auto"/>
      </w:divBdr>
    </w:div>
    <w:div w:id="611473772">
      <w:bodyDiv w:val="1"/>
      <w:marLeft w:val="0"/>
      <w:marRight w:val="0"/>
      <w:marTop w:val="0"/>
      <w:marBottom w:val="0"/>
      <w:divBdr>
        <w:top w:val="none" w:sz="0" w:space="0" w:color="auto"/>
        <w:left w:val="none" w:sz="0" w:space="0" w:color="auto"/>
        <w:bottom w:val="none" w:sz="0" w:space="0" w:color="auto"/>
        <w:right w:val="none" w:sz="0" w:space="0" w:color="auto"/>
      </w:divBdr>
      <w:divsChild>
        <w:div w:id="359085052">
          <w:marLeft w:val="965"/>
          <w:marRight w:val="0"/>
          <w:marTop w:val="0"/>
          <w:marBottom w:val="160"/>
          <w:divBdr>
            <w:top w:val="none" w:sz="0" w:space="0" w:color="auto"/>
            <w:left w:val="none" w:sz="0" w:space="0" w:color="auto"/>
            <w:bottom w:val="none" w:sz="0" w:space="0" w:color="auto"/>
            <w:right w:val="none" w:sz="0" w:space="0" w:color="auto"/>
          </w:divBdr>
        </w:div>
        <w:div w:id="657342155">
          <w:marLeft w:val="965"/>
          <w:marRight w:val="0"/>
          <w:marTop w:val="0"/>
          <w:marBottom w:val="160"/>
          <w:divBdr>
            <w:top w:val="none" w:sz="0" w:space="0" w:color="auto"/>
            <w:left w:val="none" w:sz="0" w:space="0" w:color="auto"/>
            <w:bottom w:val="none" w:sz="0" w:space="0" w:color="auto"/>
            <w:right w:val="none" w:sz="0" w:space="0" w:color="auto"/>
          </w:divBdr>
        </w:div>
        <w:div w:id="1319312381">
          <w:marLeft w:val="965"/>
          <w:marRight w:val="0"/>
          <w:marTop w:val="0"/>
          <w:marBottom w:val="160"/>
          <w:divBdr>
            <w:top w:val="none" w:sz="0" w:space="0" w:color="auto"/>
            <w:left w:val="none" w:sz="0" w:space="0" w:color="auto"/>
            <w:bottom w:val="none" w:sz="0" w:space="0" w:color="auto"/>
            <w:right w:val="none" w:sz="0" w:space="0" w:color="auto"/>
          </w:divBdr>
        </w:div>
        <w:div w:id="1873880481">
          <w:marLeft w:val="965"/>
          <w:marRight w:val="0"/>
          <w:marTop w:val="0"/>
          <w:marBottom w:val="160"/>
          <w:divBdr>
            <w:top w:val="none" w:sz="0" w:space="0" w:color="auto"/>
            <w:left w:val="none" w:sz="0" w:space="0" w:color="auto"/>
            <w:bottom w:val="none" w:sz="0" w:space="0" w:color="auto"/>
            <w:right w:val="none" w:sz="0" w:space="0" w:color="auto"/>
          </w:divBdr>
        </w:div>
        <w:div w:id="1982080236">
          <w:marLeft w:val="490"/>
          <w:marRight w:val="0"/>
          <w:marTop w:val="0"/>
          <w:marBottom w:val="160"/>
          <w:divBdr>
            <w:top w:val="none" w:sz="0" w:space="0" w:color="auto"/>
            <w:left w:val="none" w:sz="0" w:space="0" w:color="auto"/>
            <w:bottom w:val="none" w:sz="0" w:space="0" w:color="auto"/>
            <w:right w:val="none" w:sz="0" w:space="0" w:color="auto"/>
          </w:divBdr>
        </w:div>
        <w:div w:id="2035616573">
          <w:marLeft w:val="965"/>
          <w:marRight w:val="0"/>
          <w:marTop w:val="0"/>
          <w:marBottom w:val="160"/>
          <w:divBdr>
            <w:top w:val="none" w:sz="0" w:space="0" w:color="auto"/>
            <w:left w:val="none" w:sz="0" w:space="0" w:color="auto"/>
            <w:bottom w:val="none" w:sz="0" w:space="0" w:color="auto"/>
            <w:right w:val="none" w:sz="0" w:space="0" w:color="auto"/>
          </w:divBdr>
        </w:div>
        <w:div w:id="2132816694">
          <w:marLeft w:val="490"/>
          <w:marRight w:val="0"/>
          <w:marTop w:val="0"/>
          <w:marBottom w:val="160"/>
          <w:divBdr>
            <w:top w:val="none" w:sz="0" w:space="0" w:color="auto"/>
            <w:left w:val="none" w:sz="0" w:space="0" w:color="auto"/>
            <w:bottom w:val="none" w:sz="0" w:space="0" w:color="auto"/>
            <w:right w:val="none" w:sz="0" w:space="0" w:color="auto"/>
          </w:divBdr>
        </w:div>
      </w:divsChild>
    </w:div>
    <w:div w:id="617763839">
      <w:bodyDiv w:val="1"/>
      <w:marLeft w:val="0"/>
      <w:marRight w:val="0"/>
      <w:marTop w:val="0"/>
      <w:marBottom w:val="0"/>
      <w:divBdr>
        <w:top w:val="none" w:sz="0" w:space="0" w:color="auto"/>
        <w:left w:val="none" w:sz="0" w:space="0" w:color="auto"/>
        <w:bottom w:val="none" w:sz="0" w:space="0" w:color="auto"/>
        <w:right w:val="none" w:sz="0" w:space="0" w:color="auto"/>
      </w:divBdr>
      <w:divsChild>
        <w:div w:id="184484086">
          <w:marLeft w:val="490"/>
          <w:marRight w:val="0"/>
          <w:marTop w:val="0"/>
          <w:marBottom w:val="160"/>
          <w:divBdr>
            <w:top w:val="none" w:sz="0" w:space="0" w:color="auto"/>
            <w:left w:val="none" w:sz="0" w:space="0" w:color="auto"/>
            <w:bottom w:val="none" w:sz="0" w:space="0" w:color="auto"/>
            <w:right w:val="none" w:sz="0" w:space="0" w:color="auto"/>
          </w:divBdr>
        </w:div>
        <w:div w:id="488328408">
          <w:marLeft w:val="490"/>
          <w:marRight w:val="0"/>
          <w:marTop w:val="0"/>
          <w:marBottom w:val="160"/>
          <w:divBdr>
            <w:top w:val="none" w:sz="0" w:space="0" w:color="auto"/>
            <w:left w:val="none" w:sz="0" w:space="0" w:color="auto"/>
            <w:bottom w:val="none" w:sz="0" w:space="0" w:color="auto"/>
            <w:right w:val="none" w:sz="0" w:space="0" w:color="auto"/>
          </w:divBdr>
        </w:div>
        <w:div w:id="1230530292">
          <w:marLeft w:val="490"/>
          <w:marRight w:val="0"/>
          <w:marTop w:val="0"/>
          <w:marBottom w:val="160"/>
          <w:divBdr>
            <w:top w:val="none" w:sz="0" w:space="0" w:color="auto"/>
            <w:left w:val="none" w:sz="0" w:space="0" w:color="auto"/>
            <w:bottom w:val="none" w:sz="0" w:space="0" w:color="auto"/>
            <w:right w:val="none" w:sz="0" w:space="0" w:color="auto"/>
          </w:divBdr>
        </w:div>
      </w:divsChild>
    </w:div>
    <w:div w:id="625475756">
      <w:bodyDiv w:val="1"/>
      <w:marLeft w:val="0"/>
      <w:marRight w:val="0"/>
      <w:marTop w:val="0"/>
      <w:marBottom w:val="0"/>
      <w:divBdr>
        <w:top w:val="none" w:sz="0" w:space="0" w:color="auto"/>
        <w:left w:val="none" w:sz="0" w:space="0" w:color="auto"/>
        <w:bottom w:val="none" w:sz="0" w:space="0" w:color="auto"/>
        <w:right w:val="none" w:sz="0" w:space="0" w:color="auto"/>
      </w:divBdr>
    </w:div>
    <w:div w:id="627054884">
      <w:bodyDiv w:val="1"/>
      <w:marLeft w:val="0"/>
      <w:marRight w:val="0"/>
      <w:marTop w:val="0"/>
      <w:marBottom w:val="0"/>
      <w:divBdr>
        <w:top w:val="none" w:sz="0" w:space="0" w:color="auto"/>
        <w:left w:val="none" w:sz="0" w:space="0" w:color="auto"/>
        <w:bottom w:val="none" w:sz="0" w:space="0" w:color="auto"/>
        <w:right w:val="none" w:sz="0" w:space="0" w:color="auto"/>
      </w:divBdr>
    </w:div>
    <w:div w:id="627586361">
      <w:bodyDiv w:val="1"/>
      <w:marLeft w:val="0"/>
      <w:marRight w:val="0"/>
      <w:marTop w:val="0"/>
      <w:marBottom w:val="0"/>
      <w:divBdr>
        <w:top w:val="none" w:sz="0" w:space="0" w:color="auto"/>
        <w:left w:val="none" w:sz="0" w:space="0" w:color="auto"/>
        <w:bottom w:val="none" w:sz="0" w:space="0" w:color="auto"/>
        <w:right w:val="none" w:sz="0" w:space="0" w:color="auto"/>
      </w:divBdr>
    </w:div>
    <w:div w:id="635138601">
      <w:bodyDiv w:val="1"/>
      <w:marLeft w:val="0"/>
      <w:marRight w:val="0"/>
      <w:marTop w:val="0"/>
      <w:marBottom w:val="0"/>
      <w:divBdr>
        <w:top w:val="none" w:sz="0" w:space="0" w:color="auto"/>
        <w:left w:val="none" w:sz="0" w:space="0" w:color="auto"/>
        <w:bottom w:val="none" w:sz="0" w:space="0" w:color="auto"/>
        <w:right w:val="none" w:sz="0" w:space="0" w:color="auto"/>
      </w:divBdr>
    </w:div>
    <w:div w:id="637613169">
      <w:bodyDiv w:val="1"/>
      <w:marLeft w:val="0"/>
      <w:marRight w:val="0"/>
      <w:marTop w:val="0"/>
      <w:marBottom w:val="0"/>
      <w:divBdr>
        <w:top w:val="none" w:sz="0" w:space="0" w:color="auto"/>
        <w:left w:val="none" w:sz="0" w:space="0" w:color="auto"/>
        <w:bottom w:val="none" w:sz="0" w:space="0" w:color="auto"/>
        <w:right w:val="none" w:sz="0" w:space="0" w:color="auto"/>
      </w:divBdr>
    </w:div>
    <w:div w:id="656306150">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58780">
      <w:bodyDiv w:val="1"/>
      <w:marLeft w:val="0"/>
      <w:marRight w:val="0"/>
      <w:marTop w:val="0"/>
      <w:marBottom w:val="0"/>
      <w:divBdr>
        <w:top w:val="none" w:sz="0" w:space="0" w:color="auto"/>
        <w:left w:val="none" w:sz="0" w:space="0" w:color="auto"/>
        <w:bottom w:val="none" w:sz="0" w:space="0" w:color="auto"/>
        <w:right w:val="none" w:sz="0" w:space="0" w:color="auto"/>
      </w:divBdr>
    </w:div>
    <w:div w:id="687366106">
      <w:bodyDiv w:val="1"/>
      <w:marLeft w:val="0"/>
      <w:marRight w:val="0"/>
      <w:marTop w:val="0"/>
      <w:marBottom w:val="0"/>
      <w:divBdr>
        <w:top w:val="none" w:sz="0" w:space="0" w:color="auto"/>
        <w:left w:val="none" w:sz="0" w:space="0" w:color="auto"/>
        <w:bottom w:val="none" w:sz="0" w:space="0" w:color="auto"/>
        <w:right w:val="none" w:sz="0" w:space="0" w:color="auto"/>
      </w:divBdr>
    </w:div>
    <w:div w:id="711880425">
      <w:bodyDiv w:val="1"/>
      <w:marLeft w:val="0"/>
      <w:marRight w:val="0"/>
      <w:marTop w:val="0"/>
      <w:marBottom w:val="0"/>
      <w:divBdr>
        <w:top w:val="none" w:sz="0" w:space="0" w:color="auto"/>
        <w:left w:val="none" w:sz="0" w:space="0" w:color="auto"/>
        <w:bottom w:val="none" w:sz="0" w:space="0" w:color="auto"/>
        <w:right w:val="none" w:sz="0" w:space="0" w:color="auto"/>
      </w:divBdr>
    </w:div>
    <w:div w:id="716584334">
      <w:bodyDiv w:val="1"/>
      <w:marLeft w:val="0"/>
      <w:marRight w:val="0"/>
      <w:marTop w:val="0"/>
      <w:marBottom w:val="0"/>
      <w:divBdr>
        <w:top w:val="none" w:sz="0" w:space="0" w:color="auto"/>
        <w:left w:val="none" w:sz="0" w:space="0" w:color="auto"/>
        <w:bottom w:val="none" w:sz="0" w:space="0" w:color="auto"/>
        <w:right w:val="none" w:sz="0" w:space="0" w:color="auto"/>
      </w:divBdr>
    </w:div>
    <w:div w:id="716585708">
      <w:bodyDiv w:val="1"/>
      <w:marLeft w:val="0"/>
      <w:marRight w:val="0"/>
      <w:marTop w:val="0"/>
      <w:marBottom w:val="0"/>
      <w:divBdr>
        <w:top w:val="none" w:sz="0" w:space="0" w:color="auto"/>
        <w:left w:val="none" w:sz="0" w:space="0" w:color="auto"/>
        <w:bottom w:val="none" w:sz="0" w:space="0" w:color="auto"/>
        <w:right w:val="none" w:sz="0" w:space="0" w:color="auto"/>
      </w:divBdr>
    </w:div>
    <w:div w:id="718625557">
      <w:bodyDiv w:val="1"/>
      <w:marLeft w:val="0"/>
      <w:marRight w:val="0"/>
      <w:marTop w:val="0"/>
      <w:marBottom w:val="0"/>
      <w:divBdr>
        <w:top w:val="none" w:sz="0" w:space="0" w:color="auto"/>
        <w:left w:val="none" w:sz="0" w:space="0" w:color="auto"/>
        <w:bottom w:val="none" w:sz="0" w:space="0" w:color="auto"/>
        <w:right w:val="none" w:sz="0" w:space="0" w:color="auto"/>
      </w:divBdr>
    </w:div>
    <w:div w:id="721170194">
      <w:bodyDiv w:val="1"/>
      <w:marLeft w:val="0"/>
      <w:marRight w:val="0"/>
      <w:marTop w:val="0"/>
      <w:marBottom w:val="0"/>
      <w:divBdr>
        <w:top w:val="none" w:sz="0" w:space="0" w:color="auto"/>
        <w:left w:val="none" w:sz="0" w:space="0" w:color="auto"/>
        <w:bottom w:val="none" w:sz="0" w:space="0" w:color="auto"/>
        <w:right w:val="none" w:sz="0" w:space="0" w:color="auto"/>
      </w:divBdr>
    </w:div>
    <w:div w:id="742919061">
      <w:bodyDiv w:val="1"/>
      <w:marLeft w:val="0"/>
      <w:marRight w:val="0"/>
      <w:marTop w:val="0"/>
      <w:marBottom w:val="0"/>
      <w:divBdr>
        <w:top w:val="none" w:sz="0" w:space="0" w:color="auto"/>
        <w:left w:val="none" w:sz="0" w:space="0" w:color="auto"/>
        <w:bottom w:val="none" w:sz="0" w:space="0" w:color="auto"/>
        <w:right w:val="none" w:sz="0" w:space="0" w:color="auto"/>
      </w:divBdr>
    </w:div>
    <w:div w:id="761149944">
      <w:bodyDiv w:val="1"/>
      <w:marLeft w:val="0"/>
      <w:marRight w:val="0"/>
      <w:marTop w:val="0"/>
      <w:marBottom w:val="0"/>
      <w:divBdr>
        <w:top w:val="none" w:sz="0" w:space="0" w:color="auto"/>
        <w:left w:val="none" w:sz="0" w:space="0" w:color="auto"/>
        <w:bottom w:val="none" w:sz="0" w:space="0" w:color="auto"/>
        <w:right w:val="none" w:sz="0" w:space="0" w:color="auto"/>
      </w:divBdr>
      <w:divsChild>
        <w:div w:id="2125495332">
          <w:marLeft w:val="0"/>
          <w:marRight w:val="0"/>
          <w:marTop w:val="0"/>
          <w:marBottom w:val="0"/>
          <w:divBdr>
            <w:top w:val="none" w:sz="0" w:space="0" w:color="auto"/>
            <w:left w:val="none" w:sz="0" w:space="0" w:color="auto"/>
            <w:bottom w:val="none" w:sz="0" w:space="0" w:color="auto"/>
            <w:right w:val="none" w:sz="0" w:space="0" w:color="auto"/>
          </w:divBdr>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4544561">
      <w:bodyDiv w:val="1"/>
      <w:marLeft w:val="0"/>
      <w:marRight w:val="0"/>
      <w:marTop w:val="0"/>
      <w:marBottom w:val="0"/>
      <w:divBdr>
        <w:top w:val="none" w:sz="0" w:space="0" w:color="auto"/>
        <w:left w:val="none" w:sz="0" w:space="0" w:color="auto"/>
        <w:bottom w:val="none" w:sz="0" w:space="0" w:color="auto"/>
        <w:right w:val="none" w:sz="0" w:space="0" w:color="auto"/>
      </w:divBdr>
    </w:div>
    <w:div w:id="77328452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77016">
      <w:bodyDiv w:val="1"/>
      <w:marLeft w:val="0"/>
      <w:marRight w:val="0"/>
      <w:marTop w:val="0"/>
      <w:marBottom w:val="0"/>
      <w:divBdr>
        <w:top w:val="none" w:sz="0" w:space="0" w:color="auto"/>
        <w:left w:val="none" w:sz="0" w:space="0" w:color="auto"/>
        <w:bottom w:val="none" w:sz="0" w:space="0" w:color="auto"/>
        <w:right w:val="none" w:sz="0" w:space="0" w:color="auto"/>
      </w:divBdr>
    </w:div>
    <w:div w:id="783696487">
      <w:bodyDiv w:val="1"/>
      <w:marLeft w:val="0"/>
      <w:marRight w:val="0"/>
      <w:marTop w:val="0"/>
      <w:marBottom w:val="0"/>
      <w:divBdr>
        <w:top w:val="none" w:sz="0" w:space="0" w:color="auto"/>
        <w:left w:val="none" w:sz="0" w:space="0" w:color="auto"/>
        <w:bottom w:val="none" w:sz="0" w:space="0" w:color="auto"/>
        <w:right w:val="none" w:sz="0" w:space="0" w:color="auto"/>
      </w:divBdr>
    </w:div>
    <w:div w:id="788356104">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789861988">
      <w:bodyDiv w:val="1"/>
      <w:marLeft w:val="0"/>
      <w:marRight w:val="0"/>
      <w:marTop w:val="0"/>
      <w:marBottom w:val="0"/>
      <w:divBdr>
        <w:top w:val="none" w:sz="0" w:space="0" w:color="auto"/>
        <w:left w:val="none" w:sz="0" w:space="0" w:color="auto"/>
        <w:bottom w:val="none" w:sz="0" w:space="0" w:color="auto"/>
        <w:right w:val="none" w:sz="0" w:space="0" w:color="auto"/>
      </w:divBdr>
    </w:div>
    <w:div w:id="791367413">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48431">
      <w:bodyDiv w:val="1"/>
      <w:marLeft w:val="0"/>
      <w:marRight w:val="0"/>
      <w:marTop w:val="0"/>
      <w:marBottom w:val="0"/>
      <w:divBdr>
        <w:top w:val="none" w:sz="0" w:space="0" w:color="auto"/>
        <w:left w:val="none" w:sz="0" w:space="0" w:color="auto"/>
        <w:bottom w:val="none" w:sz="0" w:space="0" w:color="auto"/>
        <w:right w:val="none" w:sz="0" w:space="0" w:color="auto"/>
      </w:divBdr>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7570161">
      <w:bodyDiv w:val="1"/>
      <w:marLeft w:val="0"/>
      <w:marRight w:val="0"/>
      <w:marTop w:val="0"/>
      <w:marBottom w:val="0"/>
      <w:divBdr>
        <w:top w:val="none" w:sz="0" w:space="0" w:color="auto"/>
        <w:left w:val="none" w:sz="0" w:space="0" w:color="auto"/>
        <w:bottom w:val="none" w:sz="0" w:space="0" w:color="auto"/>
        <w:right w:val="none" w:sz="0" w:space="0" w:color="auto"/>
      </w:divBdr>
    </w:div>
    <w:div w:id="821703282">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99169410">
      <w:bodyDiv w:val="1"/>
      <w:marLeft w:val="0"/>
      <w:marRight w:val="0"/>
      <w:marTop w:val="0"/>
      <w:marBottom w:val="0"/>
      <w:divBdr>
        <w:top w:val="none" w:sz="0" w:space="0" w:color="auto"/>
        <w:left w:val="none" w:sz="0" w:space="0" w:color="auto"/>
        <w:bottom w:val="none" w:sz="0" w:space="0" w:color="auto"/>
        <w:right w:val="none" w:sz="0" w:space="0" w:color="auto"/>
      </w:divBdr>
    </w:div>
    <w:div w:id="899285811">
      <w:bodyDiv w:val="1"/>
      <w:marLeft w:val="0"/>
      <w:marRight w:val="0"/>
      <w:marTop w:val="0"/>
      <w:marBottom w:val="0"/>
      <w:divBdr>
        <w:top w:val="none" w:sz="0" w:space="0" w:color="auto"/>
        <w:left w:val="none" w:sz="0" w:space="0" w:color="auto"/>
        <w:bottom w:val="none" w:sz="0" w:space="0" w:color="auto"/>
        <w:right w:val="none" w:sz="0" w:space="0" w:color="auto"/>
      </w:divBdr>
    </w:div>
    <w:div w:id="911351757">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288359">
      <w:bodyDiv w:val="1"/>
      <w:marLeft w:val="0"/>
      <w:marRight w:val="0"/>
      <w:marTop w:val="0"/>
      <w:marBottom w:val="0"/>
      <w:divBdr>
        <w:top w:val="none" w:sz="0" w:space="0" w:color="auto"/>
        <w:left w:val="none" w:sz="0" w:space="0" w:color="auto"/>
        <w:bottom w:val="none" w:sz="0" w:space="0" w:color="auto"/>
        <w:right w:val="none" w:sz="0" w:space="0" w:color="auto"/>
      </w:divBdr>
      <w:divsChild>
        <w:div w:id="660085510">
          <w:marLeft w:val="547"/>
          <w:marRight w:val="0"/>
          <w:marTop w:val="0"/>
          <w:marBottom w:val="120"/>
          <w:divBdr>
            <w:top w:val="none" w:sz="0" w:space="0" w:color="auto"/>
            <w:left w:val="none" w:sz="0" w:space="0" w:color="auto"/>
            <w:bottom w:val="none" w:sz="0" w:space="0" w:color="auto"/>
            <w:right w:val="none" w:sz="0" w:space="0" w:color="auto"/>
          </w:divBdr>
        </w:div>
        <w:div w:id="1370228594">
          <w:marLeft w:val="547"/>
          <w:marRight w:val="0"/>
          <w:marTop w:val="0"/>
          <w:marBottom w:val="180"/>
          <w:divBdr>
            <w:top w:val="none" w:sz="0" w:space="0" w:color="auto"/>
            <w:left w:val="none" w:sz="0" w:space="0" w:color="auto"/>
            <w:bottom w:val="none" w:sz="0" w:space="0" w:color="auto"/>
            <w:right w:val="none" w:sz="0" w:space="0" w:color="auto"/>
          </w:divBdr>
        </w:div>
        <w:div w:id="1455173540">
          <w:marLeft w:val="547"/>
          <w:marRight w:val="0"/>
          <w:marTop w:val="0"/>
          <w:marBottom w:val="120"/>
          <w:divBdr>
            <w:top w:val="none" w:sz="0" w:space="0" w:color="auto"/>
            <w:left w:val="none" w:sz="0" w:space="0" w:color="auto"/>
            <w:bottom w:val="none" w:sz="0" w:space="0" w:color="auto"/>
            <w:right w:val="none" w:sz="0" w:space="0" w:color="auto"/>
          </w:divBdr>
        </w:div>
      </w:divsChild>
    </w:div>
    <w:div w:id="935988540">
      <w:bodyDiv w:val="1"/>
      <w:marLeft w:val="0"/>
      <w:marRight w:val="0"/>
      <w:marTop w:val="0"/>
      <w:marBottom w:val="0"/>
      <w:divBdr>
        <w:top w:val="none" w:sz="0" w:space="0" w:color="auto"/>
        <w:left w:val="none" w:sz="0" w:space="0" w:color="auto"/>
        <w:bottom w:val="none" w:sz="0" w:space="0" w:color="auto"/>
        <w:right w:val="none" w:sz="0" w:space="0" w:color="auto"/>
      </w:divBdr>
    </w:div>
    <w:div w:id="943420127">
      <w:bodyDiv w:val="1"/>
      <w:marLeft w:val="0"/>
      <w:marRight w:val="0"/>
      <w:marTop w:val="0"/>
      <w:marBottom w:val="0"/>
      <w:divBdr>
        <w:top w:val="none" w:sz="0" w:space="0" w:color="auto"/>
        <w:left w:val="none" w:sz="0" w:space="0" w:color="auto"/>
        <w:bottom w:val="none" w:sz="0" w:space="0" w:color="auto"/>
        <w:right w:val="none" w:sz="0" w:space="0" w:color="auto"/>
      </w:divBdr>
    </w:div>
    <w:div w:id="944002823">
      <w:bodyDiv w:val="1"/>
      <w:marLeft w:val="0"/>
      <w:marRight w:val="0"/>
      <w:marTop w:val="0"/>
      <w:marBottom w:val="0"/>
      <w:divBdr>
        <w:top w:val="none" w:sz="0" w:space="0" w:color="auto"/>
        <w:left w:val="none" w:sz="0" w:space="0" w:color="auto"/>
        <w:bottom w:val="none" w:sz="0" w:space="0" w:color="auto"/>
        <w:right w:val="none" w:sz="0" w:space="0" w:color="auto"/>
      </w:divBdr>
    </w:div>
    <w:div w:id="954484769">
      <w:bodyDiv w:val="1"/>
      <w:marLeft w:val="0"/>
      <w:marRight w:val="0"/>
      <w:marTop w:val="0"/>
      <w:marBottom w:val="0"/>
      <w:divBdr>
        <w:top w:val="none" w:sz="0" w:space="0" w:color="auto"/>
        <w:left w:val="none" w:sz="0" w:space="0" w:color="auto"/>
        <w:bottom w:val="none" w:sz="0" w:space="0" w:color="auto"/>
        <w:right w:val="none" w:sz="0" w:space="0" w:color="auto"/>
      </w:divBdr>
    </w:div>
    <w:div w:id="962350387">
      <w:bodyDiv w:val="1"/>
      <w:marLeft w:val="0"/>
      <w:marRight w:val="0"/>
      <w:marTop w:val="0"/>
      <w:marBottom w:val="0"/>
      <w:divBdr>
        <w:top w:val="none" w:sz="0" w:space="0" w:color="auto"/>
        <w:left w:val="none" w:sz="0" w:space="0" w:color="auto"/>
        <w:bottom w:val="none" w:sz="0" w:space="0" w:color="auto"/>
        <w:right w:val="none" w:sz="0" w:space="0" w:color="auto"/>
      </w:divBdr>
    </w:div>
    <w:div w:id="965431051">
      <w:bodyDiv w:val="1"/>
      <w:marLeft w:val="0"/>
      <w:marRight w:val="0"/>
      <w:marTop w:val="0"/>
      <w:marBottom w:val="0"/>
      <w:divBdr>
        <w:top w:val="none" w:sz="0" w:space="0" w:color="auto"/>
        <w:left w:val="none" w:sz="0" w:space="0" w:color="auto"/>
        <w:bottom w:val="none" w:sz="0" w:space="0" w:color="auto"/>
        <w:right w:val="none" w:sz="0" w:space="0" w:color="auto"/>
      </w:divBdr>
    </w:div>
    <w:div w:id="969551958">
      <w:bodyDiv w:val="1"/>
      <w:marLeft w:val="0"/>
      <w:marRight w:val="0"/>
      <w:marTop w:val="0"/>
      <w:marBottom w:val="0"/>
      <w:divBdr>
        <w:top w:val="none" w:sz="0" w:space="0" w:color="auto"/>
        <w:left w:val="none" w:sz="0" w:space="0" w:color="auto"/>
        <w:bottom w:val="none" w:sz="0" w:space="0" w:color="auto"/>
        <w:right w:val="none" w:sz="0" w:space="0" w:color="auto"/>
      </w:divBdr>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6810817">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633952">
      <w:bodyDiv w:val="1"/>
      <w:marLeft w:val="0"/>
      <w:marRight w:val="0"/>
      <w:marTop w:val="0"/>
      <w:marBottom w:val="0"/>
      <w:divBdr>
        <w:top w:val="none" w:sz="0" w:space="0" w:color="auto"/>
        <w:left w:val="none" w:sz="0" w:space="0" w:color="auto"/>
        <w:bottom w:val="none" w:sz="0" w:space="0" w:color="auto"/>
        <w:right w:val="none" w:sz="0" w:space="0" w:color="auto"/>
      </w:divBdr>
    </w:div>
    <w:div w:id="1033648197">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54086031">
      <w:bodyDiv w:val="1"/>
      <w:marLeft w:val="0"/>
      <w:marRight w:val="0"/>
      <w:marTop w:val="0"/>
      <w:marBottom w:val="0"/>
      <w:divBdr>
        <w:top w:val="none" w:sz="0" w:space="0" w:color="auto"/>
        <w:left w:val="none" w:sz="0" w:space="0" w:color="auto"/>
        <w:bottom w:val="none" w:sz="0" w:space="0" w:color="auto"/>
        <w:right w:val="none" w:sz="0" w:space="0" w:color="auto"/>
      </w:divBdr>
    </w:div>
    <w:div w:id="1064110651">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3965611">
      <w:bodyDiv w:val="1"/>
      <w:marLeft w:val="0"/>
      <w:marRight w:val="0"/>
      <w:marTop w:val="0"/>
      <w:marBottom w:val="0"/>
      <w:divBdr>
        <w:top w:val="none" w:sz="0" w:space="0" w:color="auto"/>
        <w:left w:val="none" w:sz="0" w:space="0" w:color="auto"/>
        <w:bottom w:val="none" w:sz="0" w:space="0" w:color="auto"/>
        <w:right w:val="none" w:sz="0" w:space="0" w:color="auto"/>
      </w:divBdr>
    </w:div>
    <w:div w:id="1075586143">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648800">
      <w:bodyDiv w:val="1"/>
      <w:marLeft w:val="0"/>
      <w:marRight w:val="0"/>
      <w:marTop w:val="0"/>
      <w:marBottom w:val="0"/>
      <w:divBdr>
        <w:top w:val="none" w:sz="0" w:space="0" w:color="auto"/>
        <w:left w:val="none" w:sz="0" w:space="0" w:color="auto"/>
        <w:bottom w:val="none" w:sz="0" w:space="0" w:color="auto"/>
        <w:right w:val="none" w:sz="0" w:space="0" w:color="auto"/>
      </w:divBdr>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05541293">
      <w:bodyDiv w:val="1"/>
      <w:marLeft w:val="0"/>
      <w:marRight w:val="0"/>
      <w:marTop w:val="0"/>
      <w:marBottom w:val="0"/>
      <w:divBdr>
        <w:top w:val="none" w:sz="0" w:space="0" w:color="auto"/>
        <w:left w:val="none" w:sz="0" w:space="0" w:color="auto"/>
        <w:bottom w:val="none" w:sz="0" w:space="0" w:color="auto"/>
        <w:right w:val="none" w:sz="0" w:space="0" w:color="auto"/>
      </w:divBdr>
    </w:div>
    <w:div w:id="1115292393">
      <w:bodyDiv w:val="1"/>
      <w:marLeft w:val="0"/>
      <w:marRight w:val="0"/>
      <w:marTop w:val="0"/>
      <w:marBottom w:val="0"/>
      <w:divBdr>
        <w:top w:val="none" w:sz="0" w:space="0" w:color="auto"/>
        <w:left w:val="none" w:sz="0" w:space="0" w:color="auto"/>
        <w:bottom w:val="none" w:sz="0" w:space="0" w:color="auto"/>
        <w:right w:val="none" w:sz="0" w:space="0" w:color="auto"/>
      </w:divBdr>
    </w:div>
    <w:div w:id="1115710779">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504956">
      <w:bodyDiv w:val="1"/>
      <w:marLeft w:val="0"/>
      <w:marRight w:val="0"/>
      <w:marTop w:val="0"/>
      <w:marBottom w:val="0"/>
      <w:divBdr>
        <w:top w:val="none" w:sz="0" w:space="0" w:color="auto"/>
        <w:left w:val="none" w:sz="0" w:space="0" w:color="auto"/>
        <w:bottom w:val="none" w:sz="0" w:space="0" w:color="auto"/>
        <w:right w:val="none" w:sz="0" w:space="0" w:color="auto"/>
      </w:divBdr>
    </w:div>
    <w:div w:id="1150708026">
      <w:bodyDiv w:val="1"/>
      <w:marLeft w:val="0"/>
      <w:marRight w:val="0"/>
      <w:marTop w:val="0"/>
      <w:marBottom w:val="0"/>
      <w:divBdr>
        <w:top w:val="none" w:sz="0" w:space="0" w:color="auto"/>
        <w:left w:val="none" w:sz="0" w:space="0" w:color="auto"/>
        <w:bottom w:val="none" w:sz="0" w:space="0" w:color="auto"/>
        <w:right w:val="none" w:sz="0" w:space="0" w:color="auto"/>
      </w:divBdr>
    </w:div>
    <w:div w:id="1177303567">
      <w:bodyDiv w:val="1"/>
      <w:marLeft w:val="0"/>
      <w:marRight w:val="0"/>
      <w:marTop w:val="0"/>
      <w:marBottom w:val="0"/>
      <w:divBdr>
        <w:top w:val="none" w:sz="0" w:space="0" w:color="auto"/>
        <w:left w:val="none" w:sz="0" w:space="0" w:color="auto"/>
        <w:bottom w:val="none" w:sz="0" w:space="0" w:color="auto"/>
        <w:right w:val="none" w:sz="0" w:space="0" w:color="auto"/>
      </w:divBdr>
      <w:divsChild>
        <w:div w:id="934558960">
          <w:marLeft w:val="490"/>
          <w:marRight w:val="0"/>
          <w:marTop w:val="0"/>
          <w:marBottom w:val="160"/>
          <w:divBdr>
            <w:top w:val="none" w:sz="0" w:space="0" w:color="auto"/>
            <w:left w:val="none" w:sz="0" w:space="0" w:color="auto"/>
            <w:bottom w:val="none" w:sz="0" w:space="0" w:color="auto"/>
            <w:right w:val="none" w:sz="0" w:space="0" w:color="auto"/>
          </w:divBdr>
        </w:div>
        <w:div w:id="972978069">
          <w:marLeft w:val="490"/>
          <w:marRight w:val="0"/>
          <w:marTop w:val="0"/>
          <w:marBottom w:val="160"/>
          <w:divBdr>
            <w:top w:val="none" w:sz="0" w:space="0" w:color="auto"/>
            <w:left w:val="none" w:sz="0" w:space="0" w:color="auto"/>
            <w:bottom w:val="none" w:sz="0" w:space="0" w:color="auto"/>
            <w:right w:val="none" w:sz="0" w:space="0" w:color="auto"/>
          </w:divBdr>
        </w:div>
        <w:div w:id="1065490803">
          <w:marLeft w:val="490"/>
          <w:marRight w:val="0"/>
          <w:marTop w:val="0"/>
          <w:marBottom w:val="160"/>
          <w:divBdr>
            <w:top w:val="none" w:sz="0" w:space="0" w:color="auto"/>
            <w:left w:val="none" w:sz="0" w:space="0" w:color="auto"/>
            <w:bottom w:val="none" w:sz="0" w:space="0" w:color="auto"/>
            <w:right w:val="none" w:sz="0" w:space="0" w:color="auto"/>
          </w:divBdr>
        </w:div>
        <w:div w:id="1555773479">
          <w:marLeft w:val="490"/>
          <w:marRight w:val="0"/>
          <w:marTop w:val="0"/>
          <w:marBottom w:val="160"/>
          <w:divBdr>
            <w:top w:val="none" w:sz="0" w:space="0" w:color="auto"/>
            <w:left w:val="none" w:sz="0" w:space="0" w:color="auto"/>
            <w:bottom w:val="none" w:sz="0" w:space="0" w:color="auto"/>
            <w:right w:val="none" w:sz="0" w:space="0" w:color="auto"/>
          </w:divBdr>
        </w:div>
        <w:div w:id="1755274228">
          <w:marLeft w:val="490"/>
          <w:marRight w:val="0"/>
          <w:marTop w:val="0"/>
          <w:marBottom w:val="160"/>
          <w:divBdr>
            <w:top w:val="none" w:sz="0" w:space="0" w:color="auto"/>
            <w:left w:val="none" w:sz="0" w:space="0" w:color="auto"/>
            <w:bottom w:val="none" w:sz="0" w:space="0" w:color="auto"/>
            <w:right w:val="none" w:sz="0" w:space="0" w:color="auto"/>
          </w:divBdr>
        </w:div>
        <w:div w:id="2146073530">
          <w:marLeft w:val="490"/>
          <w:marRight w:val="0"/>
          <w:marTop w:val="0"/>
          <w:marBottom w:val="160"/>
          <w:divBdr>
            <w:top w:val="none" w:sz="0" w:space="0" w:color="auto"/>
            <w:left w:val="none" w:sz="0" w:space="0" w:color="auto"/>
            <w:bottom w:val="none" w:sz="0" w:space="0" w:color="auto"/>
            <w:right w:val="none" w:sz="0" w:space="0" w:color="auto"/>
          </w:divBdr>
        </w:div>
      </w:divsChild>
    </w:div>
    <w:div w:id="1179926010">
      <w:bodyDiv w:val="1"/>
      <w:marLeft w:val="0"/>
      <w:marRight w:val="0"/>
      <w:marTop w:val="0"/>
      <w:marBottom w:val="0"/>
      <w:divBdr>
        <w:top w:val="none" w:sz="0" w:space="0" w:color="auto"/>
        <w:left w:val="none" w:sz="0" w:space="0" w:color="auto"/>
        <w:bottom w:val="none" w:sz="0" w:space="0" w:color="auto"/>
        <w:right w:val="none" w:sz="0" w:space="0" w:color="auto"/>
      </w:divBdr>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246252">
      <w:bodyDiv w:val="1"/>
      <w:marLeft w:val="0"/>
      <w:marRight w:val="0"/>
      <w:marTop w:val="0"/>
      <w:marBottom w:val="0"/>
      <w:divBdr>
        <w:top w:val="none" w:sz="0" w:space="0" w:color="auto"/>
        <w:left w:val="none" w:sz="0" w:space="0" w:color="auto"/>
        <w:bottom w:val="none" w:sz="0" w:space="0" w:color="auto"/>
        <w:right w:val="none" w:sz="0" w:space="0" w:color="auto"/>
      </w:divBdr>
    </w:div>
    <w:div w:id="1241139997">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07540723">
      <w:bodyDiv w:val="1"/>
      <w:marLeft w:val="0"/>
      <w:marRight w:val="0"/>
      <w:marTop w:val="0"/>
      <w:marBottom w:val="0"/>
      <w:divBdr>
        <w:top w:val="none" w:sz="0" w:space="0" w:color="auto"/>
        <w:left w:val="none" w:sz="0" w:space="0" w:color="auto"/>
        <w:bottom w:val="none" w:sz="0" w:space="0" w:color="auto"/>
        <w:right w:val="none" w:sz="0" w:space="0" w:color="auto"/>
      </w:divBdr>
    </w:div>
    <w:div w:id="1319728119">
      <w:bodyDiv w:val="1"/>
      <w:marLeft w:val="0"/>
      <w:marRight w:val="0"/>
      <w:marTop w:val="0"/>
      <w:marBottom w:val="0"/>
      <w:divBdr>
        <w:top w:val="none" w:sz="0" w:space="0" w:color="auto"/>
        <w:left w:val="none" w:sz="0" w:space="0" w:color="auto"/>
        <w:bottom w:val="none" w:sz="0" w:space="0" w:color="auto"/>
        <w:right w:val="none" w:sz="0" w:space="0" w:color="auto"/>
      </w:divBdr>
    </w:div>
    <w:div w:id="1331564775">
      <w:bodyDiv w:val="1"/>
      <w:marLeft w:val="0"/>
      <w:marRight w:val="0"/>
      <w:marTop w:val="0"/>
      <w:marBottom w:val="0"/>
      <w:divBdr>
        <w:top w:val="none" w:sz="0" w:space="0" w:color="auto"/>
        <w:left w:val="none" w:sz="0" w:space="0" w:color="auto"/>
        <w:bottom w:val="none" w:sz="0" w:space="0" w:color="auto"/>
        <w:right w:val="none" w:sz="0" w:space="0" w:color="auto"/>
      </w:divBdr>
    </w:div>
    <w:div w:id="1333339918">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894834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69721967">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9089011">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3833">
      <w:bodyDiv w:val="1"/>
      <w:marLeft w:val="0"/>
      <w:marRight w:val="0"/>
      <w:marTop w:val="0"/>
      <w:marBottom w:val="0"/>
      <w:divBdr>
        <w:top w:val="none" w:sz="0" w:space="0" w:color="auto"/>
        <w:left w:val="none" w:sz="0" w:space="0" w:color="auto"/>
        <w:bottom w:val="none" w:sz="0" w:space="0" w:color="auto"/>
        <w:right w:val="none" w:sz="0" w:space="0" w:color="auto"/>
      </w:divBdr>
    </w:div>
    <w:div w:id="1408990116">
      <w:bodyDiv w:val="1"/>
      <w:marLeft w:val="0"/>
      <w:marRight w:val="0"/>
      <w:marTop w:val="0"/>
      <w:marBottom w:val="0"/>
      <w:divBdr>
        <w:top w:val="none" w:sz="0" w:space="0" w:color="auto"/>
        <w:left w:val="none" w:sz="0" w:space="0" w:color="auto"/>
        <w:bottom w:val="none" w:sz="0" w:space="0" w:color="auto"/>
        <w:right w:val="none" w:sz="0" w:space="0" w:color="auto"/>
      </w:divBdr>
    </w:div>
    <w:div w:id="1411462571">
      <w:bodyDiv w:val="1"/>
      <w:marLeft w:val="0"/>
      <w:marRight w:val="0"/>
      <w:marTop w:val="0"/>
      <w:marBottom w:val="0"/>
      <w:divBdr>
        <w:top w:val="none" w:sz="0" w:space="0" w:color="auto"/>
        <w:left w:val="none" w:sz="0" w:space="0" w:color="auto"/>
        <w:bottom w:val="none" w:sz="0" w:space="0" w:color="auto"/>
        <w:right w:val="none" w:sz="0" w:space="0" w:color="auto"/>
      </w:divBdr>
    </w:div>
    <w:div w:id="1471291318">
      <w:bodyDiv w:val="1"/>
      <w:marLeft w:val="0"/>
      <w:marRight w:val="0"/>
      <w:marTop w:val="0"/>
      <w:marBottom w:val="0"/>
      <w:divBdr>
        <w:top w:val="none" w:sz="0" w:space="0" w:color="auto"/>
        <w:left w:val="none" w:sz="0" w:space="0" w:color="auto"/>
        <w:bottom w:val="none" w:sz="0" w:space="0" w:color="auto"/>
        <w:right w:val="none" w:sz="0" w:space="0" w:color="auto"/>
      </w:divBdr>
    </w:div>
    <w:div w:id="1474903458">
      <w:bodyDiv w:val="1"/>
      <w:marLeft w:val="0"/>
      <w:marRight w:val="0"/>
      <w:marTop w:val="0"/>
      <w:marBottom w:val="0"/>
      <w:divBdr>
        <w:top w:val="none" w:sz="0" w:space="0" w:color="auto"/>
        <w:left w:val="none" w:sz="0" w:space="0" w:color="auto"/>
        <w:bottom w:val="none" w:sz="0" w:space="0" w:color="auto"/>
        <w:right w:val="none" w:sz="0" w:space="0" w:color="auto"/>
      </w:divBdr>
      <w:divsChild>
        <w:div w:id="1475215456">
          <w:marLeft w:val="547"/>
          <w:marRight w:val="0"/>
          <w:marTop w:val="0"/>
          <w:marBottom w:val="120"/>
          <w:divBdr>
            <w:top w:val="none" w:sz="0" w:space="0" w:color="auto"/>
            <w:left w:val="none" w:sz="0" w:space="0" w:color="auto"/>
            <w:bottom w:val="none" w:sz="0" w:space="0" w:color="auto"/>
            <w:right w:val="none" w:sz="0" w:space="0" w:color="auto"/>
          </w:divBdr>
        </w:div>
        <w:div w:id="1561482458">
          <w:marLeft w:val="547"/>
          <w:marRight w:val="0"/>
          <w:marTop w:val="0"/>
          <w:marBottom w:val="180"/>
          <w:divBdr>
            <w:top w:val="none" w:sz="0" w:space="0" w:color="auto"/>
            <w:left w:val="none" w:sz="0" w:space="0" w:color="auto"/>
            <w:bottom w:val="none" w:sz="0" w:space="0" w:color="auto"/>
            <w:right w:val="none" w:sz="0" w:space="0" w:color="auto"/>
          </w:divBdr>
        </w:div>
        <w:div w:id="1800761930">
          <w:marLeft w:val="547"/>
          <w:marRight w:val="0"/>
          <w:marTop w:val="0"/>
          <w:marBottom w:val="120"/>
          <w:divBdr>
            <w:top w:val="none" w:sz="0" w:space="0" w:color="auto"/>
            <w:left w:val="none" w:sz="0" w:space="0" w:color="auto"/>
            <w:bottom w:val="none" w:sz="0" w:space="0" w:color="auto"/>
            <w:right w:val="none" w:sz="0" w:space="0" w:color="auto"/>
          </w:divBdr>
        </w:div>
      </w:divsChild>
    </w:div>
    <w:div w:id="1489129308">
      <w:bodyDiv w:val="1"/>
      <w:marLeft w:val="0"/>
      <w:marRight w:val="0"/>
      <w:marTop w:val="0"/>
      <w:marBottom w:val="0"/>
      <w:divBdr>
        <w:top w:val="none" w:sz="0" w:space="0" w:color="auto"/>
        <w:left w:val="none" w:sz="0" w:space="0" w:color="auto"/>
        <w:bottom w:val="none" w:sz="0" w:space="0" w:color="auto"/>
        <w:right w:val="none" w:sz="0" w:space="0" w:color="auto"/>
      </w:divBdr>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02546422">
      <w:bodyDiv w:val="1"/>
      <w:marLeft w:val="0"/>
      <w:marRight w:val="0"/>
      <w:marTop w:val="0"/>
      <w:marBottom w:val="0"/>
      <w:divBdr>
        <w:top w:val="none" w:sz="0" w:space="0" w:color="auto"/>
        <w:left w:val="none" w:sz="0" w:space="0" w:color="auto"/>
        <w:bottom w:val="none" w:sz="0" w:space="0" w:color="auto"/>
        <w:right w:val="none" w:sz="0" w:space="0" w:color="auto"/>
      </w:divBdr>
    </w:div>
    <w:div w:id="1503081066">
      <w:bodyDiv w:val="1"/>
      <w:marLeft w:val="0"/>
      <w:marRight w:val="0"/>
      <w:marTop w:val="0"/>
      <w:marBottom w:val="0"/>
      <w:divBdr>
        <w:top w:val="none" w:sz="0" w:space="0" w:color="auto"/>
        <w:left w:val="none" w:sz="0" w:space="0" w:color="auto"/>
        <w:bottom w:val="none" w:sz="0" w:space="0" w:color="auto"/>
        <w:right w:val="none" w:sz="0" w:space="0" w:color="auto"/>
      </w:divBdr>
    </w:div>
    <w:div w:id="1506287248">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33960136">
      <w:bodyDiv w:val="1"/>
      <w:marLeft w:val="0"/>
      <w:marRight w:val="0"/>
      <w:marTop w:val="0"/>
      <w:marBottom w:val="0"/>
      <w:divBdr>
        <w:top w:val="none" w:sz="0" w:space="0" w:color="auto"/>
        <w:left w:val="none" w:sz="0" w:space="0" w:color="auto"/>
        <w:bottom w:val="none" w:sz="0" w:space="0" w:color="auto"/>
        <w:right w:val="none" w:sz="0" w:space="0" w:color="auto"/>
      </w:divBdr>
    </w:div>
    <w:div w:id="1550071801">
      <w:bodyDiv w:val="1"/>
      <w:marLeft w:val="0"/>
      <w:marRight w:val="0"/>
      <w:marTop w:val="0"/>
      <w:marBottom w:val="0"/>
      <w:divBdr>
        <w:top w:val="none" w:sz="0" w:space="0" w:color="auto"/>
        <w:left w:val="none" w:sz="0" w:space="0" w:color="auto"/>
        <w:bottom w:val="none" w:sz="0" w:space="0" w:color="auto"/>
        <w:right w:val="none" w:sz="0" w:space="0" w:color="auto"/>
      </w:divBdr>
    </w:div>
    <w:div w:id="1555777558">
      <w:bodyDiv w:val="1"/>
      <w:marLeft w:val="0"/>
      <w:marRight w:val="0"/>
      <w:marTop w:val="0"/>
      <w:marBottom w:val="0"/>
      <w:divBdr>
        <w:top w:val="none" w:sz="0" w:space="0" w:color="auto"/>
        <w:left w:val="none" w:sz="0" w:space="0" w:color="auto"/>
        <w:bottom w:val="none" w:sz="0" w:space="0" w:color="auto"/>
        <w:right w:val="none" w:sz="0" w:space="0" w:color="auto"/>
      </w:divBdr>
    </w:div>
    <w:div w:id="1563713557">
      <w:bodyDiv w:val="1"/>
      <w:marLeft w:val="0"/>
      <w:marRight w:val="0"/>
      <w:marTop w:val="0"/>
      <w:marBottom w:val="0"/>
      <w:divBdr>
        <w:top w:val="none" w:sz="0" w:space="0" w:color="auto"/>
        <w:left w:val="none" w:sz="0" w:space="0" w:color="auto"/>
        <w:bottom w:val="none" w:sz="0" w:space="0" w:color="auto"/>
        <w:right w:val="none" w:sz="0" w:space="0" w:color="auto"/>
      </w:divBdr>
    </w:div>
    <w:div w:id="156706234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236376">
      <w:bodyDiv w:val="1"/>
      <w:marLeft w:val="0"/>
      <w:marRight w:val="0"/>
      <w:marTop w:val="0"/>
      <w:marBottom w:val="0"/>
      <w:divBdr>
        <w:top w:val="none" w:sz="0" w:space="0" w:color="auto"/>
        <w:left w:val="none" w:sz="0" w:space="0" w:color="auto"/>
        <w:bottom w:val="none" w:sz="0" w:space="0" w:color="auto"/>
        <w:right w:val="none" w:sz="0" w:space="0" w:color="auto"/>
      </w:divBdr>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598824992">
      <w:bodyDiv w:val="1"/>
      <w:marLeft w:val="0"/>
      <w:marRight w:val="0"/>
      <w:marTop w:val="0"/>
      <w:marBottom w:val="0"/>
      <w:divBdr>
        <w:top w:val="none" w:sz="0" w:space="0" w:color="auto"/>
        <w:left w:val="none" w:sz="0" w:space="0" w:color="auto"/>
        <w:bottom w:val="none" w:sz="0" w:space="0" w:color="auto"/>
        <w:right w:val="none" w:sz="0" w:space="0" w:color="auto"/>
      </w:divBdr>
    </w:div>
    <w:div w:id="1602831052">
      <w:bodyDiv w:val="1"/>
      <w:marLeft w:val="0"/>
      <w:marRight w:val="0"/>
      <w:marTop w:val="0"/>
      <w:marBottom w:val="0"/>
      <w:divBdr>
        <w:top w:val="none" w:sz="0" w:space="0" w:color="auto"/>
        <w:left w:val="none" w:sz="0" w:space="0" w:color="auto"/>
        <w:bottom w:val="none" w:sz="0" w:space="0" w:color="auto"/>
        <w:right w:val="none" w:sz="0" w:space="0" w:color="auto"/>
      </w:divBdr>
      <w:divsChild>
        <w:div w:id="1308363752">
          <w:marLeft w:val="490"/>
          <w:marRight w:val="0"/>
          <w:marTop w:val="0"/>
          <w:marBottom w:val="160"/>
          <w:divBdr>
            <w:top w:val="none" w:sz="0" w:space="0" w:color="auto"/>
            <w:left w:val="none" w:sz="0" w:space="0" w:color="auto"/>
            <w:bottom w:val="none" w:sz="0" w:space="0" w:color="auto"/>
            <w:right w:val="none" w:sz="0" w:space="0" w:color="auto"/>
          </w:divBdr>
        </w:div>
      </w:divsChild>
    </w:div>
    <w:div w:id="1613824324">
      <w:bodyDiv w:val="1"/>
      <w:marLeft w:val="0"/>
      <w:marRight w:val="0"/>
      <w:marTop w:val="0"/>
      <w:marBottom w:val="0"/>
      <w:divBdr>
        <w:top w:val="none" w:sz="0" w:space="0" w:color="auto"/>
        <w:left w:val="none" w:sz="0" w:space="0" w:color="auto"/>
        <w:bottom w:val="none" w:sz="0" w:space="0" w:color="auto"/>
        <w:right w:val="none" w:sz="0" w:space="0" w:color="auto"/>
      </w:divBdr>
      <w:divsChild>
        <w:div w:id="236522139">
          <w:marLeft w:val="1080"/>
          <w:marRight w:val="0"/>
          <w:marTop w:val="0"/>
          <w:marBottom w:val="60"/>
          <w:divBdr>
            <w:top w:val="none" w:sz="0" w:space="0" w:color="auto"/>
            <w:left w:val="none" w:sz="0" w:space="0" w:color="auto"/>
            <w:bottom w:val="none" w:sz="0" w:space="0" w:color="auto"/>
            <w:right w:val="none" w:sz="0" w:space="0" w:color="auto"/>
          </w:divBdr>
        </w:div>
        <w:div w:id="447898332">
          <w:marLeft w:val="1080"/>
          <w:marRight w:val="0"/>
          <w:marTop w:val="0"/>
          <w:marBottom w:val="60"/>
          <w:divBdr>
            <w:top w:val="none" w:sz="0" w:space="0" w:color="auto"/>
            <w:left w:val="none" w:sz="0" w:space="0" w:color="auto"/>
            <w:bottom w:val="none" w:sz="0" w:space="0" w:color="auto"/>
            <w:right w:val="none" w:sz="0" w:space="0" w:color="auto"/>
          </w:divBdr>
        </w:div>
        <w:div w:id="2031948602">
          <w:marLeft w:val="1080"/>
          <w:marRight w:val="0"/>
          <w:marTop w:val="0"/>
          <w:marBottom w:val="60"/>
          <w:divBdr>
            <w:top w:val="none" w:sz="0" w:space="0" w:color="auto"/>
            <w:left w:val="none" w:sz="0" w:space="0" w:color="auto"/>
            <w:bottom w:val="none" w:sz="0" w:space="0" w:color="auto"/>
            <w:right w:val="none" w:sz="0" w:space="0" w:color="auto"/>
          </w:divBdr>
        </w:div>
        <w:div w:id="2095080304">
          <w:marLeft w:val="1080"/>
          <w:marRight w:val="0"/>
          <w:marTop w:val="0"/>
          <w:marBottom w:val="60"/>
          <w:divBdr>
            <w:top w:val="none" w:sz="0" w:space="0" w:color="auto"/>
            <w:left w:val="none" w:sz="0" w:space="0" w:color="auto"/>
            <w:bottom w:val="none" w:sz="0" w:space="0" w:color="auto"/>
            <w:right w:val="none" w:sz="0" w:space="0" w:color="auto"/>
          </w:divBdr>
        </w:div>
      </w:divsChild>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51865045">
      <w:bodyDiv w:val="1"/>
      <w:marLeft w:val="0"/>
      <w:marRight w:val="0"/>
      <w:marTop w:val="0"/>
      <w:marBottom w:val="0"/>
      <w:divBdr>
        <w:top w:val="none" w:sz="0" w:space="0" w:color="auto"/>
        <w:left w:val="none" w:sz="0" w:space="0" w:color="auto"/>
        <w:bottom w:val="none" w:sz="0" w:space="0" w:color="auto"/>
        <w:right w:val="none" w:sz="0" w:space="0" w:color="auto"/>
      </w:divBdr>
    </w:div>
    <w:div w:id="1655794138">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666929407">
      <w:bodyDiv w:val="1"/>
      <w:marLeft w:val="0"/>
      <w:marRight w:val="0"/>
      <w:marTop w:val="0"/>
      <w:marBottom w:val="0"/>
      <w:divBdr>
        <w:top w:val="none" w:sz="0" w:space="0" w:color="auto"/>
        <w:left w:val="none" w:sz="0" w:space="0" w:color="auto"/>
        <w:bottom w:val="none" w:sz="0" w:space="0" w:color="auto"/>
        <w:right w:val="none" w:sz="0" w:space="0" w:color="auto"/>
      </w:divBdr>
    </w:div>
    <w:div w:id="1696616032">
      <w:bodyDiv w:val="1"/>
      <w:marLeft w:val="0"/>
      <w:marRight w:val="0"/>
      <w:marTop w:val="0"/>
      <w:marBottom w:val="0"/>
      <w:divBdr>
        <w:top w:val="none" w:sz="0" w:space="0" w:color="auto"/>
        <w:left w:val="none" w:sz="0" w:space="0" w:color="auto"/>
        <w:bottom w:val="none" w:sz="0" w:space="0" w:color="auto"/>
        <w:right w:val="none" w:sz="0" w:space="0" w:color="auto"/>
      </w:divBdr>
    </w:div>
    <w:div w:id="1706754953">
      <w:bodyDiv w:val="1"/>
      <w:marLeft w:val="0"/>
      <w:marRight w:val="0"/>
      <w:marTop w:val="0"/>
      <w:marBottom w:val="0"/>
      <w:divBdr>
        <w:top w:val="none" w:sz="0" w:space="0" w:color="auto"/>
        <w:left w:val="none" w:sz="0" w:space="0" w:color="auto"/>
        <w:bottom w:val="none" w:sz="0" w:space="0" w:color="auto"/>
        <w:right w:val="none" w:sz="0" w:space="0" w:color="auto"/>
      </w:divBdr>
    </w:div>
    <w:div w:id="1721855422">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4789182">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1214628">
      <w:bodyDiv w:val="1"/>
      <w:marLeft w:val="0"/>
      <w:marRight w:val="0"/>
      <w:marTop w:val="0"/>
      <w:marBottom w:val="0"/>
      <w:divBdr>
        <w:top w:val="none" w:sz="0" w:space="0" w:color="auto"/>
        <w:left w:val="none" w:sz="0" w:space="0" w:color="auto"/>
        <w:bottom w:val="none" w:sz="0" w:space="0" w:color="auto"/>
        <w:right w:val="none" w:sz="0" w:space="0" w:color="auto"/>
      </w:divBdr>
    </w:div>
    <w:div w:id="183509972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66483476">
      <w:bodyDiv w:val="1"/>
      <w:marLeft w:val="0"/>
      <w:marRight w:val="0"/>
      <w:marTop w:val="0"/>
      <w:marBottom w:val="0"/>
      <w:divBdr>
        <w:top w:val="none" w:sz="0" w:space="0" w:color="auto"/>
        <w:left w:val="none" w:sz="0" w:space="0" w:color="auto"/>
        <w:bottom w:val="none" w:sz="0" w:space="0" w:color="auto"/>
        <w:right w:val="none" w:sz="0" w:space="0" w:color="auto"/>
      </w:divBdr>
    </w:div>
    <w:div w:id="1872256909">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1919939">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897086330">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774298">
      <w:bodyDiv w:val="1"/>
      <w:marLeft w:val="0"/>
      <w:marRight w:val="0"/>
      <w:marTop w:val="0"/>
      <w:marBottom w:val="0"/>
      <w:divBdr>
        <w:top w:val="none" w:sz="0" w:space="0" w:color="auto"/>
        <w:left w:val="none" w:sz="0" w:space="0" w:color="auto"/>
        <w:bottom w:val="none" w:sz="0" w:space="0" w:color="auto"/>
        <w:right w:val="none" w:sz="0" w:space="0" w:color="auto"/>
      </w:divBdr>
    </w:div>
    <w:div w:id="1951356217">
      <w:bodyDiv w:val="1"/>
      <w:marLeft w:val="0"/>
      <w:marRight w:val="0"/>
      <w:marTop w:val="0"/>
      <w:marBottom w:val="0"/>
      <w:divBdr>
        <w:top w:val="none" w:sz="0" w:space="0" w:color="auto"/>
        <w:left w:val="none" w:sz="0" w:space="0" w:color="auto"/>
        <w:bottom w:val="none" w:sz="0" w:space="0" w:color="auto"/>
        <w:right w:val="none" w:sz="0" w:space="0" w:color="auto"/>
      </w:divBdr>
      <w:divsChild>
        <w:div w:id="824391183">
          <w:marLeft w:val="0"/>
          <w:marRight w:val="0"/>
          <w:marTop w:val="0"/>
          <w:marBottom w:val="0"/>
          <w:divBdr>
            <w:top w:val="none" w:sz="0" w:space="0" w:color="auto"/>
            <w:left w:val="none" w:sz="0" w:space="0" w:color="auto"/>
            <w:bottom w:val="none" w:sz="0" w:space="0" w:color="auto"/>
            <w:right w:val="none" w:sz="0" w:space="0" w:color="auto"/>
          </w:divBdr>
          <w:divsChild>
            <w:div w:id="20364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3032">
      <w:bodyDiv w:val="1"/>
      <w:marLeft w:val="0"/>
      <w:marRight w:val="0"/>
      <w:marTop w:val="0"/>
      <w:marBottom w:val="0"/>
      <w:divBdr>
        <w:top w:val="none" w:sz="0" w:space="0" w:color="auto"/>
        <w:left w:val="none" w:sz="0" w:space="0" w:color="auto"/>
        <w:bottom w:val="none" w:sz="0" w:space="0" w:color="auto"/>
        <w:right w:val="none" w:sz="0" w:space="0" w:color="auto"/>
      </w:divBdr>
    </w:div>
    <w:div w:id="1963614660">
      <w:bodyDiv w:val="1"/>
      <w:marLeft w:val="0"/>
      <w:marRight w:val="0"/>
      <w:marTop w:val="0"/>
      <w:marBottom w:val="0"/>
      <w:divBdr>
        <w:top w:val="none" w:sz="0" w:space="0" w:color="auto"/>
        <w:left w:val="none" w:sz="0" w:space="0" w:color="auto"/>
        <w:bottom w:val="none" w:sz="0" w:space="0" w:color="auto"/>
        <w:right w:val="none" w:sz="0" w:space="0" w:color="auto"/>
      </w:divBdr>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86355892">
      <w:bodyDiv w:val="1"/>
      <w:marLeft w:val="0"/>
      <w:marRight w:val="0"/>
      <w:marTop w:val="0"/>
      <w:marBottom w:val="0"/>
      <w:divBdr>
        <w:top w:val="none" w:sz="0" w:space="0" w:color="auto"/>
        <w:left w:val="none" w:sz="0" w:space="0" w:color="auto"/>
        <w:bottom w:val="none" w:sz="0" w:space="0" w:color="auto"/>
        <w:right w:val="none" w:sz="0" w:space="0" w:color="auto"/>
      </w:divBdr>
    </w:div>
    <w:div w:id="1990477990">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414816">
      <w:bodyDiv w:val="1"/>
      <w:marLeft w:val="0"/>
      <w:marRight w:val="0"/>
      <w:marTop w:val="0"/>
      <w:marBottom w:val="0"/>
      <w:divBdr>
        <w:top w:val="none" w:sz="0" w:space="0" w:color="auto"/>
        <w:left w:val="none" w:sz="0" w:space="0" w:color="auto"/>
        <w:bottom w:val="none" w:sz="0" w:space="0" w:color="auto"/>
        <w:right w:val="none" w:sz="0" w:space="0" w:color="auto"/>
      </w:divBdr>
    </w:div>
    <w:div w:id="2007240732">
      <w:bodyDiv w:val="1"/>
      <w:marLeft w:val="0"/>
      <w:marRight w:val="0"/>
      <w:marTop w:val="0"/>
      <w:marBottom w:val="0"/>
      <w:divBdr>
        <w:top w:val="none" w:sz="0" w:space="0" w:color="auto"/>
        <w:left w:val="none" w:sz="0" w:space="0" w:color="auto"/>
        <w:bottom w:val="none" w:sz="0" w:space="0" w:color="auto"/>
        <w:right w:val="none" w:sz="0" w:space="0" w:color="auto"/>
      </w:divBdr>
    </w:div>
    <w:div w:id="2008552264">
      <w:bodyDiv w:val="1"/>
      <w:marLeft w:val="0"/>
      <w:marRight w:val="0"/>
      <w:marTop w:val="0"/>
      <w:marBottom w:val="0"/>
      <w:divBdr>
        <w:top w:val="none" w:sz="0" w:space="0" w:color="auto"/>
        <w:left w:val="none" w:sz="0" w:space="0" w:color="auto"/>
        <w:bottom w:val="none" w:sz="0" w:space="0" w:color="auto"/>
        <w:right w:val="none" w:sz="0" w:space="0" w:color="auto"/>
      </w:divBdr>
    </w:div>
    <w:div w:id="2008904410">
      <w:bodyDiv w:val="1"/>
      <w:marLeft w:val="0"/>
      <w:marRight w:val="0"/>
      <w:marTop w:val="0"/>
      <w:marBottom w:val="0"/>
      <w:divBdr>
        <w:top w:val="none" w:sz="0" w:space="0" w:color="auto"/>
        <w:left w:val="none" w:sz="0" w:space="0" w:color="auto"/>
        <w:bottom w:val="none" w:sz="0" w:space="0" w:color="auto"/>
        <w:right w:val="none" w:sz="0" w:space="0" w:color="auto"/>
      </w:divBdr>
    </w:div>
    <w:div w:id="2010137894">
      <w:bodyDiv w:val="1"/>
      <w:marLeft w:val="0"/>
      <w:marRight w:val="0"/>
      <w:marTop w:val="0"/>
      <w:marBottom w:val="0"/>
      <w:divBdr>
        <w:top w:val="none" w:sz="0" w:space="0" w:color="auto"/>
        <w:left w:val="none" w:sz="0" w:space="0" w:color="auto"/>
        <w:bottom w:val="none" w:sz="0" w:space="0" w:color="auto"/>
        <w:right w:val="none" w:sz="0" w:space="0" w:color="auto"/>
      </w:divBdr>
    </w:div>
    <w:div w:id="2015958335">
      <w:bodyDiv w:val="1"/>
      <w:marLeft w:val="0"/>
      <w:marRight w:val="0"/>
      <w:marTop w:val="0"/>
      <w:marBottom w:val="0"/>
      <w:divBdr>
        <w:top w:val="none" w:sz="0" w:space="0" w:color="auto"/>
        <w:left w:val="none" w:sz="0" w:space="0" w:color="auto"/>
        <w:bottom w:val="none" w:sz="0" w:space="0" w:color="auto"/>
        <w:right w:val="none" w:sz="0" w:space="0" w:color="auto"/>
      </w:divBdr>
    </w:div>
    <w:div w:id="2016107155">
      <w:bodyDiv w:val="1"/>
      <w:marLeft w:val="0"/>
      <w:marRight w:val="0"/>
      <w:marTop w:val="0"/>
      <w:marBottom w:val="0"/>
      <w:divBdr>
        <w:top w:val="none" w:sz="0" w:space="0" w:color="auto"/>
        <w:left w:val="none" w:sz="0" w:space="0" w:color="auto"/>
        <w:bottom w:val="none" w:sz="0" w:space="0" w:color="auto"/>
        <w:right w:val="none" w:sz="0" w:space="0" w:color="auto"/>
      </w:divBdr>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17880719">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66368926">
      <w:bodyDiv w:val="1"/>
      <w:marLeft w:val="0"/>
      <w:marRight w:val="0"/>
      <w:marTop w:val="0"/>
      <w:marBottom w:val="0"/>
      <w:divBdr>
        <w:top w:val="none" w:sz="0" w:space="0" w:color="auto"/>
        <w:left w:val="none" w:sz="0" w:space="0" w:color="auto"/>
        <w:bottom w:val="none" w:sz="0" w:space="0" w:color="auto"/>
        <w:right w:val="none" w:sz="0" w:space="0" w:color="auto"/>
      </w:divBdr>
    </w:div>
    <w:div w:id="2074037998">
      <w:bodyDiv w:val="1"/>
      <w:marLeft w:val="0"/>
      <w:marRight w:val="0"/>
      <w:marTop w:val="0"/>
      <w:marBottom w:val="0"/>
      <w:divBdr>
        <w:top w:val="none" w:sz="0" w:space="0" w:color="auto"/>
        <w:left w:val="none" w:sz="0" w:space="0" w:color="auto"/>
        <w:bottom w:val="none" w:sz="0" w:space="0" w:color="auto"/>
        <w:right w:val="none" w:sz="0" w:space="0" w:color="auto"/>
      </w:divBdr>
      <w:divsChild>
        <w:div w:id="1630358063">
          <w:marLeft w:val="0"/>
          <w:marRight w:val="0"/>
          <w:marTop w:val="0"/>
          <w:marBottom w:val="0"/>
          <w:divBdr>
            <w:top w:val="none" w:sz="0" w:space="0" w:color="auto"/>
            <w:left w:val="none" w:sz="0" w:space="0" w:color="auto"/>
            <w:bottom w:val="none" w:sz="0" w:space="0" w:color="auto"/>
            <w:right w:val="none" w:sz="0" w:space="0" w:color="auto"/>
          </w:divBdr>
        </w:div>
      </w:divsChild>
    </w:div>
    <w:div w:id="2076932775">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07799828">
      <w:bodyDiv w:val="1"/>
      <w:marLeft w:val="0"/>
      <w:marRight w:val="0"/>
      <w:marTop w:val="0"/>
      <w:marBottom w:val="0"/>
      <w:divBdr>
        <w:top w:val="none" w:sz="0" w:space="0" w:color="auto"/>
        <w:left w:val="none" w:sz="0" w:space="0" w:color="auto"/>
        <w:bottom w:val="none" w:sz="0" w:space="0" w:color="auto"/>
        <w:right w:val="none" w:sz="0" w:space="0" w:color="auto"/>
      </w:divBdr>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3110795">
      <w:bodyDiv w:val="1"/>
      <w:marLeft w:val="0"/>
      <w:marRight w:val="0"/>
      <w:marTop w:val="0"/>
      <w:marBottom w:val="0"/>
      <w:divBdr>
        <w:top w:val="none" w:sz="0" w:space="0" w:color="auto"/>
        <w:left w:val="none" w:sz="0" w:space="0" w:color="auto"/>
        <w:bottom w:val="none" w:sz="0" w:space="0" w:color="auto"/>
        <w:right w:val="none" w:sz="0" w:space="0" w:color="auto"/>
      </w:divBdr>
    </w:div>
    <w:div w:id="212333335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 w:id="213779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32" Type="http://schemas.openxmlformats.org/officeDocument/2006/relationships/image" Target="media/image20.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5AIRPNAIUNRU-1328258698-27273</_dlc_DocId>
    <_dlc_DocIdUrl xmlns="71c5aaf6-e6ce-465b-b873-5148d2a4c105">
      <Url>https://nokia.sharepoint.com/sites/c5g/5gradio/_layouts/15/DocIdRedir.aspx?ID=5AIRPNAIUNRU-1328258698-27273</Url>
      <Description>5AIRPNAIUNRU-1328258698-27273</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2.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3.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4.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5.xml><?xml version="1.0" encoding="utf-8"?>
<ds:datastoreItem xmlns:ds="http://schemas.openxmlformats.org/officeDocument/2006/customXml" ds:itemID="{2C23C50B-0093-4BF4-A78F-9DE6465C5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31</Pages>
  <Words>9749</Words>
  <Characters>51257</Characters>
  <Application>Microsoft Office Word</Application>
  <DocSecurity>0</DocSecurity>
  <Lines>427</Lines>
  <Paragraphs>121</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60885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7</cp:revision>
  <cp:lastPrinted>2013-03-27T19:57:00Z</cp:lastPrinted>
  <dcterms:created xsi:type="dcterms:W3CDTF">2023-09-27T20:12:00Z</dcterms:created>
  <dcterms:modified xsi:type="dcterms:W3CDTF">2023-09-27T20:15:00Z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MediaServiceImageTags">
    <vt:lpwstr/>
  </property>
  <property fmtid="{D5CDD505-2E9C-101B-9397-08002B2CF9AE}" pid="4" name="Order">
    <vt:r8>1677600</vt:r8>
  </property>
  <property fmtid="{D5CDD505-2E9C-101B-9397-08002B2CF9AE}" pid="5" name="xd_ProgID">
    <vt:lpwstr/>
  </property>
  <property fmtid="{D5CDD505-2E9C-101B-9397-08002B2CF9AE}" pid="6" name="TemplateUrl">
    <vt:lpwstr/>
  </property>
  <property fmtid="{D5CDD505-2E9C-101B-9397-08002B2CF9AE}" pid="7" name="_ExtendedDescription">
    <vt:lpwstr/>
  </property>
  <property fmtid="{D5CDD505-2E9C-101B-9397-08002B2CF9AE}" pid="8" name="_CopySource">
    <vt:lpwstr>https://nokia.sharepoint.com/sites/c5g/5gradio/RAN4 5G Documents/RAN4 104bis e-meeting/Rel-18/FS_NR_duplex_evo/R4-221xxxx AI 7.17.2.1 - SBFD adjacent channel co-existence evaluation_new.docx</vt:lpwstr>
  </property>
  <property fmtid="{D5CDD505-2E9C-101B-9397-08002B2CF9AE}" pid="9" name="_dlc_DocIdItemGuid">
    <vt:lpwstr>6e89da25-4359-4382-83c9-2da67dff2496</vt:lpwstr>
  </property>
</Properties>
</file>